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op1htqp7sqni" w:id="0"/>
      <w:bookmarkEnd w:id="0"/>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This stage leads from the plateau of Ano Vrontou to the ski center up on Lailias mountain. The route is on a dirt road, shaded by beautiful forests and with plenty of waters. There are also nice views back to  the mountains on the east. Take the road north to Karidohori and just before a pond turn left along potato fields and into the forest. Continue through pine forest to a saddle with magnificent views at the base of Lailias mountain peak. Continue uphill through beech forest to the ski center.</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1jr8hfia4778" w:id="1"/>
      <w:bookmarkEnd w:id="1"/>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No accommodation and food at the ski center (except from winter).</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xuup0ttoxgx8" w:id="2"/>
      <w:bookmarkEnd w:id="2"/>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1uo7d614lewj"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Very few non-informative signposts and some plastic ribbons.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