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93dgq46nk4oe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 mostly downhill walk on mount Paiko with beautiful views of Pinovo and Tzena mountains.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pf6vbobudpz0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Arhagelos square take the cobblestone paved alley south-west. Continue on a wide dirt road through forest. After a small saddle start descending along a ridge passing by a small pond. Not far from reaching the planes, on a saddle turn right on a smaller track that descends to the river. Cross it over a ford and continue among pomegranate trees past a saddle to emerge at Foustani village.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pvcljro4zawl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Amenities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Foustani t</w:t>
      </w:r>
      <w:r w:rsidDel="00000000" w:rsidR="00000000" w:rsidRPr="00000000">
        <w:rPr>
          <w:rtl w:val="0"/>
        </w:rPr>
        <w:t xml:space="preserve">here are a couple of tavernas, cafes and small shops but no accommodation.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shj681npmvqo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Signposting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only encountered a single E6 sign along the route and a couple more in Arhagelos.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50suhjoiyhud" w:id="4"/>
      <w:bookmarkEnd w:id="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Transportation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is a regular daily bus service  to Aridaia (Tel: 23840 21249)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