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op1htqp7sqni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starting from Perithori follow a paved track west of the village that ends before the ruins of a WWII military camp. The segment from Dasoto joins here from the right. Turn left on the broad track ascending through forest. Pass a  chapel with water (good camping spot) and saddle and continue downhill to emerge at the main road just outside Kato Vrontou.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jr8hfia4778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a few tavernas.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z4jkvwcd5167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Taxi or bus to Nevrokopi (summer only, three times a week, Tel: 25210-32734, http://www.kteldramas.gr). From there daily bus to Drama.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uo7d614lewj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couple of non-informative signs.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