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color w:val="374151"/>
          <w:sz w:val="32"/>
          <w:szCs w:val="32"/>
        </w:rPr>
        <w:t xml:space="preserve">Planeamento e Gestão de Projeto</w:t>
      </w:r>
    </w:p>
    <w:p>
      <w:pPr>
        <w:jc w:val="center"/>
      </w:pPr>
      <w:r>
        <w:rPr>
          <w:color w:val="6B7280"/>
          <w:sz w:val="26"/>
          <w:szCs w:val="26"/>
        </w:rPr>
        <w:t xml:space="preserve">2026/2027</w:t>
      </w:r>
    </w:p>
    <w:p>
      <w:pPr>
        <w:spacing w:before="1200"/>
        <w:jc w:val="center"/>
      </w:pPr>
      <w:r>
        <w:rPr>
          <w:b/>
          <w:bCs/>
          <w:sz w:val="44"/>
          <w:szCs w:val="44"/>
        </w:rPr>
        <w:t xml:space="preserve">Gestão de coleções de álbuns de música em formato físico</w:t>
      </w:r>
    </w:p>
    <w:p>
      <w:pPr>
        <w:spacing w:before="400"/>
        <w:jc w:val="center"/>
      </w:pPr>
      <w:r>
        <w:rPr>
          <w:sz w:val="30"/>
          <w:szCs w:val="30"/>
        </w:rPr>
        <w:t xml:space="preserve">Etapa 1 — Desenho inicial e pesquisa de tecnologias</w:t>
      </w:r>
    </w:p>
    <w:p>
      <w:pPr>
        <w:spacing w:before="1600"/>
        <w:jc w:val="center"/>
      </w:pPr>
      <w:r>
        <w:rPr>
          <w:b/>
          <w:bCs/>
          <w:sz w:val="26"/>
          <w:szCs w:val="26"/>
        </w:rPr>
        <w:t xml:space="preserve">Grupo XX</w:t>
      </w:r>
    </w:p>
    <w:p>
      <w:pPr>
        <w:jc w:val="center"/>
      </w:pPr>
      <w:r>
        <w:rPr>
          <w:sz w:val="24"/>
          <w:szCs w:val="24"/>
        </w:rPr>
        <w:t xml:space="preserve">Rodrigo</w:t>
      </w:r>
    </w:p>
    <w:p>
      <w:pPr>
        <w:jc w:val="center"/>
      </w:pPr>
      <w:r>
        <w:rPr>
          <w:sz w:val="24"/>
          <w:szCs w:val="24"/>
        </w:rPr>
        <w:t xml:space="preserve">Reis</w:t>
      </w:r>
    </w:p>
    <w:p>
      <w:pPr>
        <w:jc w:val="center"/>
      </w:pPr>
      <w:r>
        <w:rPr>
          <w:sz w:val="24"/>
          <w:szCs w:val="24"/>
        </w:rPr>
        <w:t xml:space="preserve">Miguel</w:t>
      </w:r>
    </w:p>
    <w:p>
      <w:pPr>
        <w:jc w:val="center"/>
      </w:pPr>
      <w:r>
        <w:rPr>
          <w:sz w:val="24"/>
          <w:szCs w:val="24"/>
        </w:rPr>
        <w:t xml:space="preserve">Ze</w:t>
      </w:r>
    </w:p>
    <w:p>
      <w:pPr>
        <w:jc w:val="center"/>
      </w:pPr>
      <w:r>
        <w:rPr>
          <w:sz w:val="24"/>
          <w:szCs w:val="24"/>
        </w:rPr>
        <w:t xml:space="preserve">Edson</w:t>
      </w:r>
    </w:p>
    <w:p>
      <w:pPr>
        <w:spacing w:before="1600"/>
        <w:jc w:val="center"/>
      </w:pPr>
      <w:r>
        <w:rPr>
          <w:color w:val="6B7280"/>
          <w:sz w:val="24"/>
          <w:szCs w:val="24"/>
        </w:rPr>
        <w:t xml:space="preserve">Novembro de 2026</w:t>
      </w:r>
    </w:p>
    <w:p>
      <w:r>
        <w:br w:type="page"/>
      </w:r>
    </w:p>
    <w:p>
      <w:pPr>
        <w:spacing w:after="240"/>
      </w:pPr>
      <w:r>
        <w:rPr>
          <w:b/>
          <w:bCs/>
          <w:color w:val="1F2937"/>
          <w:sz w:val="34"/>
          <w:szCs w:val="34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  Introdução</w:t>
      </w:r>
    </w:p>
    <w:p>
      <w:pPr>
        <w:jc w:val="both"/>
      </w:pPr>
      <w:r>
        <w:t xml:space="preserve">Este relatório apresenta a primeira etapa do projeto de Planeamento e Gestão de Projeto de 2026/2027: o desenho inicial e a pesquisa de tecnologias de uma aplicação web para a </w:t>
      </w:r>
      <w:r>
        <w:rPr>
          <w:b/>
          <w:bCs/>
        </w:rPr>
        <w:t xml:space="preserve">gestão de coleções de álbuns de música em formato físico</w:t>
      </w:r>
      <w:r>
        <w:t xml:space="preserve">, integrada no contexto de uma loja de música. A aplicação permite aos utilizadores gerir a sua coleção, comprar álbuns na loja e manter listas personalizadas; ao gestor da loja permite gerir o catálogo, o stock e os pedidos dos utilizadores.</w:t>
      </w:r>
    </w:p>
    <w:p>
      <w:pPr>
        <w:jc w:val="both"/>
      </w:pPr>
      <w:r>
        <w:t xml:space="preserve">A aplicação segue uma arquitetura cliente-servidor com três camadas (frontend, backend e base de dados). A equipa optou pela stack sugerida no enunciado, MEAN: Angular no frontend, Express e Node.js no backend e MongoDB na base de dados. Será desenvolvida no próximo semestre, em PTIR, com o modelo de processo Scrum.</w:t>
      </w:r>
    </w:p>
    <w:p>
      <w:pPr>
        <w:jc w:val="both"/>
      </w:pPr>
      <w:r>
        <w:t xml:space="preserve">O relatório está organizado da seguinte forma: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Capítulo 2:</w:t>
      </w:r>
      <w:r>
        <w:t xml:space="preserve"> casos de uso, com os atores e as funcionalidades da aplicação.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Capítulo 3:</w:t>
      </w:r>
      <w:r>
        <w:t xml:space="preserve"> modelo de dados (diagrama de classes) e restrições de integridade.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Capítulo 4:</w:t>
      </w:r>
      <w:r>
        <w:t xml:space="preserve"> fluxos de trabalho (diagramas de atividades).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Capítulo 5:</w:t>
      </w:r>
      <w:r>
        <w:t xml:space="preserve"> esboços da interface com o utilizador.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Capítulo 6:</w:t>
      </w:r>
      <w:r>
        <w:t xml:space="preserve"> pesquisa de serviços externos (mapas, geocodificação e pagamentos).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Capítulo 7:</w:t>
      </w:r>
      <w:r>
        <w:t xml:space="preserve"> suposições feitas pela equipa e questões em aberto.</w:t>
      </w:r>
    </w:p>
    <w:p>
      <w:pPr>
        <w:jc w:val="both"/>
      </w:pPr>
      <w:r>
        <w:t xml:space="preserve">Os diagramas seguem a notação UML. Todos os artefactos estão também disponíveis no repositório do projeto.</w:t>
      </w:r>
    </w:p>
    <w:p>
      <w:pPr>
        <w:pStyle w:val="Heading1"/>
        <w:pageBreakBefore/>
      </w:pPr>
      <w:r>
        <w:t xml:space="preserve">2  Casos de uso</w:t>
      </w:r>
    </w:p>
    <w:p>
      <w:pPr>
        <w:jc w:val="both"/>
      </w:pPr>
      <w:r>
        <w:t xml:space="preserve">Os diagramas de casos de uso mostram, numa perspetiva de alto nível, as funcionalidades da aplicação web e os atores que as usam.</w:t>
      </w:r>
    </w:p>
    <w:p>
      <w:pPr>
        <w:pStyle w:val="Heading2"/>
      </w:pPr>
      <w:r>
        <w:t xml:space="preserve">2.1  Atores</w:t>
      </w:r>
    </w:p>
    <w:p>
      <w:pPr>
        <w:jc w:val="both"/>
      </w:pPr>
      <w:r>
        <w:t xml:space="preserve">Há dois atores humanos, como define o enunciado, e três sistemas externos, escolhidos na pesquisa de serviços (capítulo 6).</w:t>
      </w:r>
    </w:p>
    <w:p>
      <w:pPr>
        <w:keepNext/>
        <w:spacing w:before="160" w:after="80"/>
      </w:pPr>
      <w:r>
        <w:rPr>
          <w:i/>
          <w:iCs/>
          <w:color w:val="374151"/>
          <w:sz w:val="19"/>
          <w:szCs w:val="19"/>
        </w:rPr>
        <w:t xml:space="preserve">Tabela 1 — Atores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1320"/>
        <w:gridCol w:w="4404"/>
      </w:tblGrid>
      <w:tr>
        <w:trPr>
          <w:tblHeader/>
        </w:trPr>
        <w:tc>
          <w:tcPr>
            <w:tcW w:type="dxa" w:w="330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Ator</w:t>
            </w:r>
          </w:p>
        </w:tc>
        <w:tc>
          <w:tcPr>
            <w:tcW w:type="dxa" w:w="13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440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330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Utilizador</w:t>
            </w:r>
          </w:p>
        </w:tc>
        <w:tc>
          <w:tcPr>
            <w:tcW w:type="dxa" w:w="13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Humano</w:t>
            </w:r>
          </w:p>
        </w:tc>
        <w:tc>
          <w:tcPr>
            <w:tcW w:type="dxa" w:w="440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Colecionador de álbuns e potencial cliente da loja.</w:t>
            </w:r>
          </w:p>
        </w:tc>
      </w:tr>
      <w:tr>
        <w:trPr>
          <w:tblHeader w:val="false"/>
        </w:trPr>
        <w:tc>
          <w:tcPr>
            <w:tcW w:type="dxa" w:w="330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Gestor</w:t>
            </w:r>
          </w:p>
        </w:tc>
        <w:tc>
          <w:tcPr>
            <w:tcW w:type="dxa" w:w="13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Humano</w:t>
            </w:r>
          </w:p>
        </w:tc>
        <w:tc>
          <w:tcPr>
            <w:tcW w:type="dxa" w:w="440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Gestor da loja de música. A conta já existe pré-configurada.</w:t>
            </w:r>
          </w:p>
        </w:tc>
      </w:tr>
      <w:tr>
        <w:trPr>
          <w:tblHeader w:val="false"/>
        </w:trPr>
        <w:tc>
          <w:tcPr>
            <w:tcW w:type="dxa" w:w="330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Serviço de Geocodificação (Nominatim)</w:t>
            </w:r>
          </w:p>
        </w:tc>
        <w:tc>
          <w:tcPr>
            <w:tcW w:type="dxa" w:w="13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Sistema externo</w:t>
            </w:r>
          </w:p>
        </w:tc>
        <w:tc>
          <w:tcPr>
            <w:tcW w:type="dxa" w:w="440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Converte a morada do utilizador em coordenadas, quando cria a conta ou altera o perfil.</w:t>
            </w:r>
          </w:p>
        </w:tc>
      </w:tr>
      <w:tr>
        <w:trPr>
          <w:tblHeader w:val="false"/>
        </w:trPr>
        <w:tc>
          <w:tcPr>
            <w:tcW w:type="dxa" w:w="330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Serviço de Mapas (Leaflet + OpenStreetMap)</w:t>
            </w:r>
          </w:p>
        </w:tc>
        <w:tc>
          <w:tcPr>
            <w:tcW w:type="dxa" w:w="13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Sistema externo</w:t>
            </w:r>
          </w:p>
        </w:tc>
        <w:tc>
          <w:tcPr>
            <w:tcW w:type="dxa" w:w="440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Mostra a morada no perfil e as moradas dos maiores colecionadores nas estatísticas.</w:t>
            </w:r>
          </w:p>
        </w:tc>
      </w:tr>
      <w:tr>
        <w:trPr>
          <w:tblHeader w:val="false"/>
        </w:trPr>
        <w:tc>
          <w:tcPr>
            <w:tcW w:type="dxa" w:w="330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Serviço de Pagamentos (Stripe / PayPal)</w:t>
            </w:r>
          </w:p>
        </w:tc>
        <w:tc>
          <w:tcPr>
            <w:tcW w:type="dxa" w:w="13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Sistema externo</w:t>
            </w:r>
          </w:p>
        </w:tc>
        <w:tc>
          <w:tcPr>
            <w:tcW w:type="dxa" w:w="440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Processa o pagamento do carrinho de compras.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 Diagramas de casos de uso</w:t>
      </w:r>
    </w:p>
    <w:p>
      <w:pPr>
        <w:jc w:val="both"/>
      </w:pPr>
      <w:r>
        <w:t xml:space="preserve">As 29 user stories foram agrupadas em 21 casos de uso. User stories que atuam sobre os mesmos dados ficaram num só caso de uso: por exemplo, "Gerir coleção" junta adicionar uma versão à coleção (US10) e ver, ordenar e remover álbuns da coleção (US11).</w:t>
      </w:r>
    </w:p>
    <w:p>
      <w:pPr>
        <w:jc w:val="both"/>
      </w:pPr>
      <w:r>
        <w:t xml:space="preserve">Com 21 casos de uso, um só diagrama ficava com muitas linhas cruzadas e difícil de ler. Por isso foram feitos dois diagramas, um por ator humano. O caso de uso "Iniciar sessão" (UC-02) é comum aos dois. A única relação entre casos de uso é </w:t>
      </w:r>
      <w:r>
        <w:rPr>
          <w:b/>
          <w:bCs/>
        </w:rPr>
        <w:t xml:space="preserve">UC-08 «extend» UC-07</w:t>
      </w:r>
      <w:r>
        <w:t xml:space="preserve">: gerir o artista favorito é uma opção dentro da página do artista (US7 a).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726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26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 xml:space="preserve">Figura 1 — Casos de uso do Utilizador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 xml:space="preserve">Figura 2 — Casos de uso do Gestor</w:t>
      </w:r>
    </w:p>
    <w:p>
      <w:pPr>
        <w:pStyle w:val="Heading2"/>
      </w:pPr>
      <w:r>
        <w:t xml:space="preserve">2.3  Lista de casos de uso</w:t>
      </w:r>
    </w:p>
    <w:p>
      <w:pPr>
        <w:keepNext/>
        <w:spacing w:before="160" w:after="80"/>
      </w:pPr>
      <w:r>
        <w:rPr>
          <w:i/>
          <w:iCs/>
          <w:color w:val="374151"/>
          <w:sz w:val="19"/>
          <w:szCs w:val="19"/>
        </w:rPr>
        <w:t xml:space="preserve">Tabela 2 — Casos de uso e user stories correspondentes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3249"/>
        <w:gridCol w:w="3610"/>
        <w:gridCol w:w="1355"/>
      </w:tblGrid>
      <w:tr>
        <w:trPr>
          <w:tblHeader/>
        </w:trPr>
        <w:tc>
          <w:tcPr>
            <w:tcW w:type="dxa" w:w="8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324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Caso de uso</w:t>
            </w:r>
          </w:p>
        </w:tc>
        <w:tc>
          <w:tcPr>
            <w:tcW w:type="dxa" w:w="36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Atores</w:t>
            </w:r>
          </w:p>
        </w:tc>
        <w:tc>
          <w:tcPr>
            <w:tcW w:type="dxa" w:w="135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User stories</w:t>
            </w:r>
          </w:p>
        </w:tc>
      </w:tr>
      <w:tr>
        <w:trPr>
          <w:tblHeader w:val="false"/>
        </w:trPr>
        <w:tc>
          <w:tcPr>
            <w:tcW w:type="dxa" w:w="8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UC-01</w:t>
            </w:r>
          </w:p>
        </w:tc>
        <w:tc>
          <w:tcPr>
            <w:tcW w:type="dxa" w:w="324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Criar conta</w:t>
            </w:r>
          </w:p>
        </w:tc>
        <w:tc>
          <w:tcPr>
            <w:tcW w:type="dxa" w:w="36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Utilizador, Serviço de Geocodificação</w:t>
            </w:r>
          </w:p>
        </w:tc>
        <w:tc>
          <w:tcPr>
            <w:tcW w:type="dxa" w:w="135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US1</w:t>
            </w:r>
          </w:p>
        </w:tc>
      </w:tr>
      <w:tr>
        <w:trPr>
          <w:tblHeader w:val="false"/>
        </w:trPr>
        <w:tc>
          <w:tcPr>
            <w:tcW w:type="dxa" w:w="8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UC-02</w:t>
            </w:r>
          </w:p>
        </w:tc>
        <w:tc>
          <w:tcPr>
            <w:tcW w:type="dxa" w:w="324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Iniciar sessão</w:t>
            </w:r>
          </w:p>
        </w:tc>
        <w:tc>
          <w:tcPr>
            <w:tcW w:type="dxa" w:w="36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Utilizador, Gestor</w:t>
            </w:r>
          </w:p>
        </w:tc>
        <w:tc>
          <w:tcPr>
            <w:tcW w:type="dxa" w:w="135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US2</w:t>
            </w:r>
          </w:p>
        </w:tc>
      </w:tr>
      <w:tr>
        <w:trPr>
          <w:tblHeader w:val="false"/>
        </w:trPr>
        <w:tc>
          <w:tcPr>
            <w:tcW w:type="dxa" w:w="8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UC-03</w:t>
            </w:r>
          </w:p>
        </w:tc>
        <w:tc>
          <w:tcPr>
            <w:tcW w:type="dxa" w:w="324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Aceder ao dashboard</w:t>
            </w:r>
          </w:p>
        </w:tc>
        <w:tc>
          <w:tcPr>
            <w:tcW w:type="dxa" w:w="36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Utilizador</w:t>
            </w:r>
          </w:p>
        </w:tc>
        <w:tc>
          <w:tcPr>
            <w:tcW w:type="dxa" w:w="135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US19</w:t>
            </w:r>
          </w:p>
        </w:tc>
      </w:tr>
      <w:tr>
        <w:trPr>
          <w:tblHeader w:val="false"/>
        </w:trPr>
        <w:tc>
          <w:tcPr>
            <w:tcW w:type="dxa" w:w="8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UC-04</w:t>
            </w:r>
          </w:p>
        </w:tc>
        <w:tc>
          <w:tcPr>
            <w:tcW w:type="dxa" w:w="324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Visualizar perfil</w:t>
            </w:r>
          </w:p>
        </w:tc>
        <w:tc>
          <w:tcPr>
            <w:tcW w:type="dxa" w:w="36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Utilizador, Serviço de Mapas</w:t>
            </w:r>
          </w:p>
        </w:tc>
        <w:tc>
          <w:tcPr>
            <w:tcW w:type="dxa" w:w="135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US3</w:t>
            </w:r>
          </w:p>
        </w:tc>
      </w:tr>
      <w:tr>
        <w:trPr>
          <w:tblHeader w:val="false"/>
        </w:trPr>
        <w:tc>
          <w:tcPr>
            <w:tcW w:type="dxa" w:w="8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UC-05</w:t>
            </w:r>
          </w:p>
        </w:tc>
        <w:tc>
          <w:tcPr>
            <w:tcW w:type="dxa" w:w="324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Gerir perfil</w:t>
            </w:r>
          </w:p>
        </w:tc>
        <w:tc>
          <w:tcPr>
            <w:tcW w:type="dxa" w:w="36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Utilizador, Serviço de Geocodificação</w:t>
            </w:r>
          </w:p>
        </w:tc>
        <w:tc>
          <w:tcPr>
            <w:tcW w:type="dxa" w:w="135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US4</w:t>
            </w:r>
          </w:p>
        </w:tc>
      </w:tr>
      <w:tr>
        <w:trPr>
          <w:tblHeader w:val="false"/>
        </w:trPr>
        <w:tc>
          <w:tcPr>
            <w:tcW w:type="dxa" w:w="8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UC-06</w:t>
            </w:r>
          </w:p>
        </w:tc>
        <w:tc>
          <w:tcPr>
            <w:tcW w:type="dxa" w:w="324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Pesquisar artistas e álbuns</w:t>
            </w:r>
          </w:p>
        </w:tc>
        <w:tc>
          <w:tcPr>
            <w:tcW w:type="dxa" w:w="36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Utilizador</w:t>
            </w:r>
          </w:p>
        </w:tc>
        <w:tc>
          <w:tcPr>
            <w:tcW w:type="dxa" w:w="135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US5, US8</w:t>
            </w:r>
          </w:p>
        </w:tc>
      </w:tr>
      <w:tr>
        <w:trPr>
          <w:tblHeader w:val="false"/>
        </w:trPr>
        <w:tc>
          <w:tcPr>
            <w:tcW w:type="dxa" w:w="8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UC-07</w:t>
            </w:r>
          </w:p>
        </w:tc>
        <w:tc>
          <w:tcPr>
            <w:tcW w:type="dxa" w:w="324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Visualizar página de artista</w:t>
            </w:r>
          </w:p>
        </w:tc>
        <w:tc>
          <w:tcPr>
            <w:tcW w:type="dxa" w:w="36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Utilizador</w:t>
            </w:r>
          </w:p>
        </w:tc>
        <w:tc>
          <w:tcPr>
            <w:tcW w:type="dxa" w:w="135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US6</w:t>
            </w:r>
          </w:p>
        </w:tc>
      </w:tr>
      <w:tr>
        <w:trPr>
          <w:tblHeader w:val="false"/>
        </w:trPr>
        <w:tc>
          <w:tcPr>
            <w:tcW w:type="dxa" w:w="8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UC-08</w:t>
            </w:r>
          </w:p>
        </w:tc>
        <w:tc>
          <w:tcPr>
            <w:tcW w:type="dxa" w:w="324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Gerir artista favorito</w:t>
            </w:r>
          </w:p>
        </w:tc>
        <w:tc>
          <w:tcPr>
            <w:tcW w:type="dxa" w:w="36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Utilizador</w:t>
            </w:r>
          </w:p>
        </w:tc>
        <w:tc>
          <w:tcPr>
            <w:tcW w:type="dxa" w:w="135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US7</w:t>
            </w:r>
          </w:p>
        </w:tc>
      </w:tr>
      <w:tr>
        <w:trPr>
          <w:tblHeader w:val="false"/>
        </w:trPr>
        <w:tc>
          <w:tcPr>
            <w:tcW w:type="dxa" w:w="8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UC-09</w:t>
            </w:r>
          </w:p>
        </w:tc>
        <w:tc>
          <w:tcPr>
            <w:tcW w:type="dxa" w:w="324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Visualizar página de álbum</w:t>
            </w:r>
          </w:p>
        </w:tc>
        <w:tc>
          <w:tcPr>
            <w:tcW w:type="dxa" w:w="36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Utilizador</w:t>
            </w:r>
          </w:p>
        </w:tc>
        <w:tc>
          <w:tcPr>
            <w:tcW w:type="dxa" w:w="135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US9</w:t>
            </w:r>
          </w:p>
        </w:tc>
      </w:tr>
      <w:tr>
        <w:trPr>
          <w:tblHeader w:val="false"/>
        </w:trPr>
        <w:tc>
          <w:tcPr>
            <w:tcW w:type="dxa" w:w="8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UC-10</w:t>
            </w:r>
          </w:p>
        </w:tc>
        <w:tc>
          <w:tcPr>
            <w:tcW w:type="dxa" w:w="324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Gerir coleção</w:t>
            </w:r>
          </w:p>
        </w:tc>
        <w:tc>
          <w:tcPr>
            <w:tcW w:type="dxa" w:w="36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Utilizador</w:t>
            </w:r>
          </w:p>
        </w:tc>
        <w:tc>
          <w:tcPr>
            <w:tcW w:type="dxa" w:w="135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US10, US11</w:t>
            </w:r>
          </w:p>
        </w:tc>
      </w:tr>
      <w:tr>
        <w:trPr>
          <w:tblHeader w:val="false"/>
        </w:trPr>
        <w:tc>
          <w:tcPr>
            <w:tcW w:type="dxa" w:w="8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UC-11</w:t>
            </w:r>
          </w:p>
        </w:tc>
        <w:tc>
          <w:tcPr>
            <w:tcW w:type="dxa" w:w="324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Gerir listas personalizadas</w:t>
            </w:r>
          </w:p>
        </w:tc>
        <w:tc>
          <w:tcPr>
            <w:tcW w:type="dxa" w:w="36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Utilizador</w:t>
            </w:r>
          </w:p>
        </w:tc>
        <w:tc>
          <w:tcPr>
            <w:tcW w:type="dxa" w:w="135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US15, US16</w:t>
            </w:r>
          </w:p>
        </w:tc>
      </w:tr>
      <w:tr>
        <w:trPr>
          <w:tblHeader w:val="false"/>
        </w:trPr>
        <w:tc>
          <w:tcPr>
            <w:tcW w:type="dxa" w:w="8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UC-12</w:t>
            </w:r>
          </w:p>
        </w:tc>
        <w:tc>
          <w:tcPr>
            <w:tcW w:type="dxa" w:w="324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Gerir conteúdo de uma lista</w:t>
            </w:r>
          </w:p>
        </w:tc>
        <w:tc>
          <w:tcPr>
            <w:tcW w:type="dxa" w:w="36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Utilizador</w:t>
            </w:r>
          </w:p>
        </w:tc>
        <w:tc>
          <w:tcPr>
            <w:tcW w:type="dxa" w:w="135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US17, US18</w:t>
            </w:r>
          </w:p>
        </w:tc>
      </w:tr>
      <w:tr>
        <w:trPr>
          <w:tblHeader w:val="false"/>
        </w:trPr>
        <w:tc>
          <w:tcPr>
            <w:tcW w:type="dxa" w:w="8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UC-13</w:t>
            </w:r>
          </w:p>
        </w:tc>
        <w:tc>
          <w:tcPr>
            <w:tcW w:type="dxa" w:w="324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Submeter pedido de nova versão</w:t>
            </w:r>
          </w:p>
        </w:tc>
        <w:tc>
          <w:tcPr>
            <w:tcW w:type="dxa" w:w="36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Utilizador</w:t>
            </w:r>
          </w:p>
        </w:tc>
        <w:tc>
          <w:tcPr>
            <w:tcW w:type="dxa" w:w="135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US12</w:t>
            </w:r>
          </w:p>
        </w:tc>
      </w:tr>
      <w:tr>
        <w:trPr>
          <w:tblHeader w:val="false"/>
        </w:trPr>
        <w:tc>
          <w:tcPr>
            <w:tcW w:type="dxa" w:w="8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UC-14</w:t>
            </w:r>
          </w:p>
        </w:tc>
        <w:tc>
          <w:tcPr>
            <w:tcW w:type="dxa" w:w="324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Consultar pedidos e notificações</w:t>
            </w:r>
          </w:p>
        </w:tc>
        <w:tc>
          <w:tcPr>
            <w:tcW w:type="dxa" w:w="36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Utilizador</w:t>
            </w:r>
          </w:p>
        </w:tc>
        <w:tc>
          <w:tcPr>
            <w:tcW w:type="dxa" w:w="135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US13, US14</w:t>
            </w:r>
          </w:p>
        </w:tc>
      </w:tr>
      <w:tr>
        <w:trPr>
          <w:tblHeader w:val="false"/>
        </w:trPr>
        <w:tc>
          <w:tcPr>
            <w:tcW w:type="dxa" w:w="8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UC-15</w:t>
            </w:r>
          </w:p>
        </w:tc>
        <w:tc>
          <w:tcPr>
            <w:tcW w:type="dxa" w:w="324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Gerir carrinho de compras</w:t>
            </w:r>
          </w:p>
        </w:tc>
        <w:tc>
          <w:tcPr>
            <w:tcW w:type="dxa" w:w="36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Utilizador</w:t>
            </w:r>
          </w:p>
        </w:tc>
        <w:tc>
          <w:tcPr>
            <w:tcW w:type="dxa" w:w="135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US26, US27</w:t>
            </w:r>
          </w:p>
        </w:tc>
      </w:tr>
      <w:tr>
        <w:trPr>
          <w:tblHeader w:val="false"/>
        </w:trPr>
        <w:tc>
          <w:tcPr>
            <w:tcW w:type="dxa" w:w="8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UC-16</w:t>
            </w:r>
          </w:p>
        </w:tc>
        <w:tc>
          <w:tcPr>
            <w:tcW w:type="dxa" w:w="324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Pagar carrinho</w:t>
            </w:r>
          </w:p>
        </w:tc>
        <w:tc>
          <w:tcPr>
            <w:tcW w:type="dxa" w:w="36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Utilizador, Serviço de Pagamentos</w:t>
            </w:r>
          </w:p>
        </w:tc>
        <w:tc>
          <w:tcPr>
            <w:tcW w:type="dxa" w:w="135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US28</w:t>
            </w:r>
          </w:p>
        </w:tc>
      </w:tr>
      <w:tr>
        <w:trPr>
          <w:tblHeader w:val="false"/>
        </w:trPr>
        <w:tc>
          <w:tcPr>
            <w:tcW w:type="dxa" w:w="8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UC-17</w:t>
            </w:r>
          </w:p>
        </w:tc>
        <w:tc>
          <w:tcPr>
            <w:tcW w:type="dxa" w:w="324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Gerir artistas</w:t>
            </w:r>
          </w:p>
        </w:tc>
        <w:tc>
          <w:tcPr>
            <w:tcW w:type="dxa" w:w="36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Gestor</w:t>
            </w:r>
          </w:p>
        </w:tc>
        <w:tc>
          <w:tcPr>
            <w:tcW w:type="dxa" w:w="135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US20, US21</w:t>
            </w:r>
          </w:p>
        </w:tc>
      </w:tr>
      <w:tr>
        <w:trPr>
          <w:tblHeader w:val="false"/>
        </w:trPr>
        <w:tc>
          <w:tcPr>
            <w:tcW w:type="dxa" w:w="8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UC-18</w:t>
            </w:r>
          </w:p>
        </w:tc>
        <w:tc>
          <w:tcPr>
            <w:tcW w:type="dxa" w:w="324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Gerir álbuns e versões</w:t>
            </w:r>
          </w:p>
        </w:tc>
        <w:tc>
          <w:tcPr>
            <w:tcW w:type="dxa" w:w="36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Gestor</w:t>
            </w:r>
          </w:p>
        </w:tc>
        <w:tc>
          <w:tcPr>
            <w:tcW w:type="dxa" w:w="135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US22, US23</w:t>
            </w:r>
          </w:p>
        </w:tc>
      </w:tr>
      <w:tr>
        <w:trPr>
          <w:tblHeader w:val="false"/>
        </w:trPr>
        <w:tc>
          <w:tcPr>
            <w:tcW w:type="dxa" w:w="8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UC-19</w:t>
            </w:r>
          </w:p>
        </w:tc>
        <w:tc>
          <w:tcPr>
            <w:tcW w:type="dxa" w:w="324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Responder a pedido de nova versão</w:t>
            </w:r>
          </w:p>
        </w:tc>
        <w:tc>
          <w:tcPr>
            <w:tcW w:type="dxa" w:w="36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Gestor</w:t>
            </w:r>
          </w:p>
        </w:tc>
        <w:tc>
          <w:tcPr>
            <w:tcW w:type="dxa" w:w="135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US24</w:t>
            </w:r>
          </w:p>
        </w:tc>
      </w:tr>
      <w:tr>
        <w:trPr>
          <w:tblHeader w:val="false"/>
        </w:trPr>
        <w:tc>
          <w:tcPr>
            <w:tcW w:type="dxa" w:w="8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UC-20</w:t>
            </w:r>
          </w:p>
        </w:tc>
        <w:tc>
          <w:tcPr>
            <w:tcW w:type="dxa" w:w="324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Gerir stock</w:t>
            </w:r>
          </w:p>
        </w:tc>
        <w:tc>
          <w:tcPr>
            <w:tcW w:type="dxa" w:w="36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Gestor</w:t>
            </w:r>
          </w:p>
        </w:tc>
        <w:tc>
          <w:tcPr>
            <w:tcW w:type="dxa" w:w="135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US25</w:t>
            </w:r>
          </w:p>
        </w:tc>
      </w:tr>
      <w:tr>
        <w:trPr>
          <w:tblHeader w:val="false"/>
        </w:trPr>
        <w:tc>
          <w:tcPr>
            <w:tcW w:type="dxa" w:w="8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UC-21</w:t>
            </w:r>
          </w:p>
        </w:tc>
        <w:tc>
          <w:tcPr>
            <w:tcW w:type="dxa" w:w="324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Visualizar estatísticas</w:t>
            </w:r>
          </w:p>
        </w:tc>
        <w:tc>
          <w:tcPr>
            <w:tcW w:type="dxa" w:w="36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Gestor, Serviço de Mapas</w:t>
            </w:r>
          </w:p>
        </w:tc>
        <w:tc>
          <w:tcPr>
            <w:tcW w:type="dxa" w:w="135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US29</w:t>
            </w:r>
          </w:p>
        </w:tc>
      </w:tr>
    </w:tbl>
    <w:p>
      <w:pPr>
        <w:spacing w:after="120"/>
      </w:pPr>
    </w:p>
    <w:p>
      <w:pPr>
        <w:jc w:val="both"/>
      </w:pPr>
      <w:r>
        <w:t xml:space="preserve">As 29 user stories do enunciado estão todas associadas a um caso de uso.</w:t>
      </w:r>
    </w:p>
    <w:p>
      <w:pPr>
        <w:pStyle w:val="Heading1"/>
        <w:pageBreakBefore/>
      </w:pPr>
      <w:r>
        <w:t xml:space="preserve">3  Modelo de dados</w:t>
      </w:r>
    </w:p>
    <w:p>
      <w:pPr>
        <w:jc w:val="both"/>
      </w:pPr>
      <w:r>
        <w:t xml:space="preserve">O modelo de dados define a informação que a aplicação web tem de guardar de forma persistente: as classes, os seus atributos, as associações entre elas e as restrições de integridade. Foi construído a partir do universo do discurso do enunciado, das restrições de integridade RI-01 a RI-30 e dos dados que as user stories precisam de mostrar ou alterar.</w:t>
      </w:r>
    </w:p>
    <w:p>
      <w:pPr>
        <w:jc w:val="both"/>
      </w:pPr>
      <w:r>
        <w:t xml:space="preserve">Como o modelo completo não cabe numa página A4, foi dividido em cinco agrupamentos lógicos. A Figura 3 mostra a visão geral, só com classes e associações e os agrupamentos identificados por cores. As Figuras 4 a 8 mostram cada agrupamento com os atributos e as restrições de integridade.</w:t>
      </w:r>
    </w:p>
    <w:p>
      <w:pPr>
        <w:pStyle w:val="Heading2"/>
      </w:pPr>
      <w:r>
        <w:t xml:space="preserve">3.1  Visão geral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 xml:space="preserve">Figura 3 — Diagrama de classes de topo</w:t>
      </w:r>
    </w:p>
    <w:p>
      <w:pPr>
        <w:keepNext/>
        <w:spacing w:before="160" w:after="80"/>
      </w:pPr>
      <w:r>
        <w:rPr>
          <w:i/>
          <w:iCs/>
          <w:color w:val="374151"/>
          <w:sz w:val="19"/>
          <w:szCs w:val="19"/>
        </w:rPr>
        <w:t xml:space="preserve">Tabela 3 — Agrupamentos do modelo de dados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1"/>
        <w:gridCol w:w="1983"/>
        <w:gridCol w:w="5952"/>
      </w:tblGrid>
      <w:tr>
        <w:trPr>
          <w:tblHeader/>
        </w:trPr>
        <w:tc>
          <w:tcPr>
            <w:tcW w:type="dxa" w:w="10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Cor</w:t>
            </w:r>
          </w:p>
        </w:tc>
        <w:tc>
          <w:tcPr>
            <w:tcW w:type="dxa" w:w="198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Agrupamento</w:t>
            </w:r>
          </w:p>
        </w:tc>
        <w:tc>
          <w:tcPr>
            <w:tcW w:type="dxa" w:w="595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Classes</w:t>
            </w:r>
          </w:p>
        </w:tc>
      </w:tr>
      <w:tr>
        <w:trPr>
          <w:tblHeader w:val="false"/>
        </w:trPr>
        <w:tc>
          <w:tcPr>
            <w:tcW w:type="dxa" w:w="10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Azul</w:t>
            </w:r>
          </w:p>
        </w:tc>
        <w:tc>
          <w:tcPr>
            <w:tcW w:type="dxa" w:w="198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Catálogo</w:t>
            </w:r>
          </w:p>
        </w:tc>
        <w:tc>
          <w:tcPr>
            <w:tcW w:type="dxa" w:w="595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Artista, Solista, Grupo, Album, Cancao, Faixa, VersaoAlbum</w:t>
            </w:r>
          </w:p>
        </w:tc>
      </w:tr>
      <w:tr>
        <w:trPr>
          <w:tblHeader w:val="false"/>
        </w:trPr>
        <w:tc>
          <w:tcPr>
            <w:tcW w:type="dxa" w:w="10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Verde</w:t>
            </w:r>
          </w:p>
        </w:tc>
        <w:tc>
          <w:tcPr>
            <w:tcW w:type="dxa" w:w="198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Loja e vendas</w:t>
            </w:r>
          </w:p>
        </w:tc>
        <w:tc>
          <w:tcPr>
            <w:tcW w:type="dxa" w:w="595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DisponibilidadeLoja, ItemCarrinho, Fatura, LinhaFatura</w:t>
            </w:r>
          </w:p>
        </w:tc>
      </w:tr>
      <w:tr>
        <w:trPr>
          <w:tblHeader w:val="false"/>
        </w:trPr>
        <w:tc>
          <w:tcPr>
            <w:tcW w:type="dxa" w:w="10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Amarelo</w:t>
            </w:r>
          </w:p>
        </w:tc>
        <w:tc>
          <w:tcPr>
            <w:tcW w:type="dxa" w:w="198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Utilizadores</w:t>
            </w:r>
          </w:p>
        </w:tc>
        <w:tc>
          <w:tcPr>
            <w:tcW w:type="dxa" w:w="595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Conta, Utilizador, Gestor</w:t>
            </w:r>
          </w:p>
        </w:tc>
      </w:tr>
      <w:tr>
        <w:trPr>
          <w:tblHeader w:val="false"/>
        </w:trPr>
        <w:tc>
          <w:tcPr>
            <w:tcW w:type="dxa" w:w="10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Roxo</w:t>
            </w:r>
          </w:p>
        </w:tc>
        <w:tc>
          <w:tcPr>
            <w:tcW w:type="dxa" w:w="198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Coleções e listas</w:t>
            </w:r>
          </w:p>
        </w:tc>
        <w:tc>
          <w:tcPr>
            <w:tcW w:type="dxa" w:w="595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ItemColecao, ListaPersonalizada, ItemLista</w:t>
            </w:r>
          </w:p>
        </w:tc>
      </w:tr>
      <w:tr>
        <w:trPr>
          <w:tblHeader w:val="false"/>
        </w:trPr>
        <w:tc>
          <w:tcPr>
            <w:tcW w:type="dxa" w:w="10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Vermelho</w:t>
            </w:r>
          </w:p>
        </w:tc>
        <w:tc>
          <w:tcPr>
            <w:tcW w:type="dxa" w:w="198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Pedidos</w:t>
            </w:r>
          </w:p>
        </w:tc>
        <w:tc>
          <w:tcPr>
            <w:tcW w:type="dxa" w:w="595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PedidoNovaVersao, Notificacao</w:t>
            </w:r>
          </w:p>
        </w:tc>
      </w:tr>
    </w:tbl>
    <w:p>
      <w:pPr>
        <w:spacing w:after="120"/>
      </w:pPr>
    </w:p>
    <w:p>
      <w:pPr>
        <w:jc w:val="both"/>
      </w:pPr>
      <w:r>
        <w:t xml:space="preserve">A classe central do modelo é a </w:t>
      </w:r>
      <w:r>
        <w:rPr>
          <w:b/>
          <w:bCs/>
        </w:rPr>
        <w:t xml:space="preserve">VersaoAlbum</w:t>
      </w:r>
      <w:r>
        <w:t xml:space="preserve">: a versão concreta de um álbum num suporte físico, identificada pelo código EAN-13. É ela que o utilizador compra, coloca no carrinho e adiciona à coleção, e é a ela que se associam o stock e o preço na loja.</w:t>
      </w:r>
    </w:p>
    <w:p>
      <w:pPr>
        <w:pStyle w:val="Heading2"/>
      </w:pPr>
      <w:r>
        <w:t xml:space="preserve">3.2  Catálogo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579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 xml:space="preserve">Figura 4 — Catálogo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Artista</w:t>
      </w:r>
      <w:r>
        <w:t xml:space="preserve"> é uma classe abstrata com duas especializações, </w:t>
      </w:r>
      <w:r>
        <w:rPr>
          <w:b/>
          <w:bCs/>
        </w:rPr>
        <w:t xml:space="preserve">Solista</w:t>
      </w:r>
      <w:r>
        <w:t xml:space="preserve"> e </w:t>
      </w:r>
      <w:r>
        <w:rPr>
          <w:b/>
          <w:bCs/>
        </w:rPr>
        <w:t xml:space="preserve">Grupo</w:t>
      </w:r>
      <w:r>
        <w:t xml:space="preserve">. Os membros de um grupo são representados pela associação </w:t>
      </w:r>
      <w:r>
        <w:rPr>
          <w:rFonts w:ascii="Consolas" w:cs="Consolas" w:eastAsia="Consolas" w:hAnsi="Consolas"/>
        </w:rPr>
        <w:t xml:space="preserve">membros</w:t>
      </w:r>
      <w:r>
        <w:t xml:space="preserve"> entre Grupo e Solista; como esta associação só liga grupos a solistas, o próprio modelo garante que um grupo não pode ter outros grupos como membros, nem a si próprio.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Album</w:t>
      </w:r>
      <w:r>
        <w:t xml:space="preserve"> é interpretado por no máximo um artista. Os álbuns de compilação não têm artista associado e a aplicação mostra um texto por omissão, como "Vários artistas".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Cancao</w:t>
      </w:r>
      <w:r>
        <w:t xml:space="preserve"> é interpretada por um ou mais artistas e pode aparecer em vários álbuns. Por isso, a posição de uma canção num álbum é representada pela classe </w:t>
      </w:r>
      <w:r>
        <w:rPr>
          <w:b/>
          <w:bCs/>
        </w:rPr>
        <w:t xml:space="preserve">Faixa</w:t>
      </w:r>
      <w:r>
        <w:t xml:space="preserve">, que tem o número de ordem e liga um álbum a uma canção.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VersaoAlbum</w:t>
      </w:r>
      <w:r>
        <w:t xml:space="preserve"> representa o álbum num suporte físico (CD, vinil ou cassete) e numa versão com designação própria, por exemplo a cor do vinil. Cada álbum tem uma ou mais versões.</w:t>
      </w:r>
    </w:p>
    <w:p>
      <w:pPr>
        <w:pStyle w:val="Heading2"/>
      </w:pPr>
      <w:r>
        <w:t xml:space="preserve">3.3  Loja e vendas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1609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 xml:space="preserve">Figura 5 — Loja e vendas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DisponibilidadeLoja</w:t>
      </w:r>
      <w:r>
        <w:t xml:space="preserve"> guarda, para cada versão que alguma vez esteve à venda, a data em que ficou disponível, o número de unidades, o preço e, quando esgota, a data da última venda. Por ser opcional, distingue as três situações mostradas na página do álbum (US9): nunca esteve na loja, está disponível ou esgotou.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ItemCarrinho</w:t>
      </w:r>
      <w:r>
        <w:t xml:space="preserve"> representa uma versão colocada no carrinho, com a data de adição, para mostrar os itens mais recentes primeiro (US27).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Fatura</w:t>
      </w:r>
      <w:r>
        <w:t xml:space="preserve"> é emitida quando o pagamento no serviço externo tem sucesso (US28). O número tem o ano seguido de um sequencial que recomeça em cada ano (por exemplo, 20270001). Cada fatura tem uma ou mais </w:t>
      </w:r>
      <w:r>
        <w:rPr>
          <w:b/>
          <w:bCs/>
        </w:rPr>
        <w:t xml:space="preserve">LinhaFatura</w:t>
      </w:r>
      <w:r>
        <w:t xml:space="preserve">, que guardam o preço pago por cada versão, porque o preço na loja pode mudar depois da compra.</w:t>
      </w:r>
    </w:p>
    <w:p>
      <w:pPr>
        <w:pStyle w:val="Heading2"/>
      </w:pPr>
      <w:r>
        <w:t xml:space="preserve">3.4  Utilizadores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644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 xml:space="preserve">Figura 6 — Utilizadores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Conta</w:t>
      </w:r>
      <w:r>
        <w:t xml:space="preserve"> é uma classe abstrata com os dados de acesso comuns: username, e-mail e palavra-passe. A palavra-passe é guardada cifrada, como recomenda a RNF-12.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Utilizador</w:t>
      </w:r>
      <w:r>
        <w:t xml:space="preserve"> acrescenta os dados pessoais: NIF, nome, género, morada e data de nascimento. A </w:t>
      </w:r>
      <w:r>
        <w:rPr>
          <w:b/>
          <w:bCs/>
        </w:rPr>
        <w:t xml:space="preserve">Morada</w:t>
      </w:r>
      <w:r>
        <w:t xml:space="preserve"> é um tipo de dados com o texto e as coordenadas geográficas, opcionais porque só existem quando o serviço de geocodificação consegue converter a morada (US3).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Gestor</w:t>
      </w:r>
      <w:r>
        <w:t xml:space="preserve"> representa a conta do gestor da loja, que já existe pré-configurada.</w:t>
      </w:r>
    </w:p>
    <w:p>
      <w:pPr>
        <w:pStyle w:val="ListParagraph"/>
        <w:numPr>
          <w:ilvl w:val="0"/>
          <w:numId w:val="2"/>
        </w:numPr>
      </w:pPr>
      <w:r>
        <w:t xml:space="preserve">Cada utilizador pode ter no máximo um artista favorito (US7).</w:t>
      </w:r>
    </w:p>
    <w:p>
      <w:pPr>
        <w:pStyle w:val="Heading2"/>
      </w:pPr>
      <w:r>
        <w:t xml:space="preserve">3.5  Coleções e listas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 xml:space="preserve">Figura 7 — Coleções e listas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ItemColecao</w:t>
      </w:r>
      <w:r>
        <w:t xml:space="preserve"> regista uma versão que o utilizador tem, com a data de registo. Os itens são criados por adição manual (US10) ou automaticamente depois de uma compra (US28).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ListaPersonalizada</w:t>
      </w:r>
      <w:r>
        <w:t xml:space="preserve"> tem um nome e a data da última modificação. Cada </w:t>
      </w:r>
      <w:r>
        <w:rPr>
          <w:b/>
          <w:bCs/>
        </w:rPr>
        <w:t xml:space="preserve">ItemLista</w:t>
      </w:r>
      <w:r>
        <w:t xml:space="preserve"> liga a lista a um </w:t>
      </w:r>
      <w:r>
        <w:rPr>
          <w:b/>
          <w:bCs/>
        </w:rPr>
        <w:t xml:space="preserve">álbum</w:t>
      </w:r>
      <w:r>
        <w:t xml:space="preserve">, e não a uma versão, com a data de adição, porque as listas organizam álbuns independentemente das versões (US15, US17).</w:t>
      </w:r>
    </w:p>
    <w:p>
      <w:pPr>
        <w:pStyle w:val="Heading2"/>
      </w:pPr>
      <w:r>
        <w:t xml:space="preserve">3.6  Pedidos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 xml:space="preserve">Figura 8 — Pedidos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PedidoNovaVersao</w:t>
      </w:r>
      <w:r>
        <w:t xml:space="preserve"> guarda o pedido de um utilizador para acrescentar uma versão a um álbum existente: identificador, data, estado e dados da versão pedida (EAN-13, suporte físico e designação).</w:t>
      </w:r>
    </w:p>
    <w:p>
      <w:pPr>
        <w:pStyle w:val="ListParagraph"/>
        <w:numPr>
          <w:ilvl w:val="0"/>
          <w:numId w:val="2"/>
        </w:numPr>
      </w:pPr>
      <w:r>
        <w:t xml:space="preserve">O estado é "em análise" quando o pedido é criado e passa a "aceite" ou "recusado" quando o gestor responde (US24). Quando o pedido é aceite, é criada uma nova VersaoAlbum, que fica associada ao pedido.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Notificacao</w:t>
      </w:r>
      <w:r>
        <w:t xml:space="preserve"> é criada quando o pedido é respondido (US14). Está ligada ao pedido, de onde se obtêm o destinatário e a resposta.</w:t>
      </w:r>
    </w:p>
    <w:p>
      <w:pPr>
        <w:pStyle w:val="Heading2"/>
      </w:pPr>
      <w:r>
        <w:t xml:space="preserve">3.7  Principais decisões de modelação</w:t>
      </w:r>
    </w:p>
    <w:p>
      <w:pPr>
        <w:keepNext/>
        <w:spacing w:before="160" w:after="80"/>
      </w:pPr>
      <w:r>
        <w:rPr>
          <w:i/>
          <w:iCs/>
          <w:color w:val="374151"/>
          <w:sz w:val="19"/>
          <w:szCs w:val="19"/>
        </w:rPr>
        <w:t xml:space="preserve">Tabela 4 — Decisões de modelação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75"/>
        <w:gridCol w:w="4751"/>
      </w:tblGrid>
      <w:tr>
        <w:trPr>
          <w:tblHeader/>
        </w:trPr>
        <w:tc>
          <w:tcPr>
            <w:tcW w:type="dxa" w:w="427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Decisão</w:t>
            </w:r>
          </w:p>
        </w:tc>
        <w:tc>
          <w:tcPr>
            <w:tcW w:type="dxa" w:w="475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Justificação</w:t>
            </w:r>
          </w:p>
        </w:tc>
      </w:tr>
      <w:tr>
        <w:trPr>
          <w:tblHeader w:val="false"/>
        </w:trPr>
        <w:tc>
          <w:tcPr>
            <w:tcW w:type="dxa" w:w="427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Solista e Grupo como subclasses de Artista</w:t>
            </w:r>
          </w:p>
        </w:tc>
        <w:tc>
          <w:tcPr>
            <w:tcW w:type="dxa" w:w="475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O modelo impede, por construção, que um grupo tenha grupos como membros.</w:t>
            </w:r>
          </w:p>
        </w:tc>
      </w:tr>
      <w:tr>
        <w:trPr>
          <w:tblHeader w:val="false"/>
        </w:trPr>
        <w:tc>
          <w:tcPr>
            <w:tcW w:type="dxa" w:w="427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Faixa como classe própria</w:t>
            </w:r>
          </w:p>
        </w:tc>
        <w:tc>
          <w:tcPr>
            <w:tcW w:type="dxa" w:w="475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 mesma canção pode estar em vários álbuns, com números de faixa diferentes.</w:t>
            </w:r>
          </w:p>
        </w:tc>
      </w:tr>
      <w:tr>
        <w:trPr>
          <w:tblHeader w:val="false"/>
        </w:trPr>
        <w:tc>
          <w:tcPr>
            <w:tcW w:type="dxa" w:w="427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Álbum com no máximo um artista</w:t>
            </w:r>
          </w:p>
        </w:tc>
        <w:tc>
          <w:tcPr>
            <w:tcW w:type="dxa" w:w="475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Os álbuns de compilação não têm artista (nota 10 do enunciado).</w:t>
            </w:r>
          </w:p>
        </w:tc>
      </w:tr>
      <w:tr>
        <w:trPr>
          <w:tblHeader w:val="false"/>
        </w:trPr>
        <w:tc>
          <w:tcPr>
            <w:tcW w:type="dxa" w:w="427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Álbum pode não ter faixas</w:t>
            </w:r>
          </w:p>
        </w:tc>
        <w:tc>
          <w:tcPr>
            <w:tcW w:type="dxa" w:w="475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O registo de álbuns (US22) não inclui as canções, que podem ser importadas mais tarde.</w:t>
            </w:r>
          </w:p>
        </w:tc>
      </w:tr>
      <w:tr>
        <w:trPr>
          <w:tblHeader w:val="false"/>
        </w:trPr>
        <w:tc>
          <w:tcPr>
            <w:tcW w:type="dxa" w:w="427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VersaoAlbum separada de Album</w:t>
            </w:r>
          </w:p>
        </w:tc>
        <w:tc>
          <w:tcPr>
            <w:tcW w:type="dxa" w:w="475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O que se compra, coleciona e põe no carrinho é uma versão concreta, identificada pelo EAN-13.</w:t>
            </w:r>
          </w:p>
        </w:tc>
      </w:tr>
      <w:tr>
        <w:trPr>
          <w:tblHeader w:val="false"/>
        </w:trPr>
        <w:tc>
          <w:tcPr>
            <w:tcW w:type="dxa" w:w="427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DisponibilidadeLoja separada e opcional</w:t>
            </w:r>
          </w:p>
        </w:tc>
        <w:tc>
          <w:tcPr>
            <w:tcW w:type="dxa" w:w="475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Distingue "nunca esteve na loja", "disponível" e "esgotado" (US9).</w:t>
            </w:r>
          </w:p>
        </w:tc>
      </w:tr>
      <w:tr>
        <w:trPr>
          <w:tblHeader w:val="false"/>
        </w:trPr>
        <w:tc>
          <w:tcPr>
            <w:tcW w:type="dxa" w:w="427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Preço guardado na LinhaFatura</w:t>
            </w:r>
          </w:p>
        </w:tc>
        <w:tc>
          <w:tcPr>
            <w:tcW w:type="dxa" w:w="475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 fatura mantém o preço pago, mesmo que o preço na loja mude.</w:t>
            </w:r>
          </w:p>
        </w:tc>
      </w:tr>
      <w:tr>
        <w:trPr>
          <w:tblHeader w:val="false"/>
        </w:trPr>
        <w:tc>
          <w:tcPr>
            <w:tcW w:type="dxa" w:w="427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 coleção guarda versões e as listas guardam álbuns</w:t>
            </w:r>
          </w:p>
        </w:tc>
        <w:tc>
          <w:tcPr>
            <w:tcW w:type="dxa" w:w="475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Segue a US10 e as US15 e US17.</w:t>
            </w:r>
          </w:p>
        </w:tc>
      </w:tr>
      <w:tr>
        <w:trPr>
          <w:tblHeader w:val="false"/>
        </w:trPr>
        <w:tc>
          <w:tcPr>
            <w:tcW w:type="dxa" w:w="427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Conta como superclasse de Utilizador e Gestor</w:t>
            </w:r>
          </w:p>
        </w:tc>
        <w:tc>
          <w:tcPr>
            <w:tcW w:type="dxa" w:w="475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Ambos iniciam sessão; só o utilizador tem dados pessoais, coleção e compras.</w:t>
            </w:r>
          </w:p>
        </w:tc>
      </w:tr>
      <w:tr>
        <w:trPr>
          <w:tblHeader w:val="false"/>
        </w:trPr>
        <w:tc>
          <w:tcPr>
            <w:tcW w:type="dxa" w:w="427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Palavra-passe cifrada</w:t>
            </w:r>
          </w:p>
        </w:tc>
        <w:tc>
          <w:tcPr>
            <w:tcW w:type="dxa" w:w="475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RNF-12; no perfil (US3) a palavra-passe é mostrada mascarada.</w:t>
            </w:r>
          </w:p>
        </w:tc>
      </w:tr>
      <w:tr>
        <w:trPr>
          <w:tblHeader w:val="false"/>
        </w:trPr>
        <w:tc>
          <w:tcPr>
            <w:tcW w:type="dxa" w:w="427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Notificação ligada ao pedido</w:t>
            </w:r>
          </w:p>
        </w:tc>
        <w:tc>
          <w:tcPr>
            <w:tcW w:type="dxa" w:w="475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Evita repetir o destinatário e a resposta, que já estão no pedido.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3.8  Restrições de integridade</w:t>
      </w:r>
    </w:p>
    <w:p>
      <w:pPr>
        <w:jc w:val="both"/>
      </w:pPr>
      <w:r>
        <w:t xml:space="preserve">As restrições RI-01 a RI-30 do enunciado estão representadas nas notas das classes a que se aplicam (Figuras 4 a 8). As que envolvem várias classes são: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RI-06:</w:t>
      </w:r>
      <w:r>
        <w:t xml:space="preserve"> se um álbum é interpretado por um artista, esse artista interpreta todas as canções das faixas do álbum.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RI-10 e RI-11:</w:t>
      </w:r>
      <w:r>
        <w:t xml:space="preserve"> o ano de lançamento de um álbum é igual ou posterior ao ano de início de atividade do artista que o interpreta e de todos os artistas das canções das suas faixas.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RI-14, RI-25 e RI-27:</w:t>
      </w:r>
      <w:r>
        <w:t xml:space="preserve"> as datas de disponibilidade, de adição à coleção e das faturas não podem ser anteriores ao ano de lançamento do álbum.</w:t>
      </w:r>
    </w:p>
    <w:p>
      <w:pPr>
        <w:jc w:val="both"/>
      </w:pPr>
      <w:r>
        <w:t xml:space="preserve">Foram ainda identificadas 17 restrições novas, a partir do universo do discurso, das notas de rodapé e dos critérios de aceitação das user stories. O Anexo A associa todas as restrições às classes do modelo.</w:t>
      </w:r>
    </w:p>
    <w:p>
      <w:pPr>
        <w:keepNext/>
        <w:spacing w:before="160" w:after="80"/>
      </w:pPr>
      <w:r>
        <w:rPr>
          <w:i/>
          <w:iCs/>
          <w:color w:val="374151"/>
          <w:sz w:val="19"/>
          <w:szCs w:val="19"/>
        </w:rPr>
        <w:t xml:space="preserve">Tabela 5 — Restrições de integridade novas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4"/>
        <w:gridCol w:w="5361"/>
        <w:gridCol w:w="2861"/>
      </w:tblGrid>
      <w:tr>
        <w:trPr>
          <w:tblHeader/>
        </w:trPr>
        <w:tc>
          <w:tcPr>
            <w:tcW w:type="dxa" w:w="80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536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Restrição</w:t>
            </w:r>
          </w:p>
        </w:tc>
        <w:tc>
          <w:tcPr>
            <w:tcW w:type="dxa" w:w="286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Origem</w:t>
            </w:r>
          </w:p>
        </w:tc>
      </w:tr>
      <w:tr>
        <w:trPr>
          <w:tblHeader w:val="false"/>
        </w:trPr>
        <w:tc>
          <w:tcPr>
            <w:tcW w:type="dxa" w:w="80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RI-31</w:t>
            </w:r>
          </w:p>
        </w:tc>
        <w:tc>
          <w:tcPr>
            <w:tcW w:type="dxa" w:w="536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Os membros de um grupo só podem ser artistas solistas: um grupo não pode ter como membros outros grupos, nem a si próprio.</w:t>
            </w:r>
          </w:p>
        </w:tc>
        <w:tc>
          <w:tcPr>
            <w:tcW w:type="dxa" w:w="286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Universo do discurso</w:t>
            </w:r>
          </w:p>
        </w:tc>
      </w:tr>
      <w:tr>
        <w:trPr>
          <w:tblHeader w:val="false"/>
        </w:trPr>
        <w:tc>
          <w:tcPr>
            <w:tcW w:type="dxa" w:w="80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RI-32</w:t>
            </w:r>
          </w:p>
        </w:tc>
        <w:tc>
          <w:tcPr>
            <w:tcW w:type="dxa" w:w="536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Um álbum é interpretado por, no máximo, um artista.</w:t>
            </w:r>
          </w:p>
        </w:tc>
        <w:tc>
          <w:tcPr>
            <w:tcW w:type="dxa" w:w="286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Universo do discurso, nota 10</w:t>
            </w:r>
          </w:p>
        </w:tc>
      </w:tr>
      <w:tr>
        <w:trPr>
          <w:tblHeader w:val="false"/>
        </w:trPr>
        <w:tc>
          <w:tcPr>
            <w:tcW w:type="dxa" w:w="80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RI-33</w:t>
            </w:r>
          </w:p>
        </w:tc>
        <w:tc>
          <w:tcPr>
            <w:tcW w:type="dxa" w:w="536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O código MBID identifica univocamente um álbum.</w:t>
            </w:r>
          </w:p>
        </w:tc>
        <w:tc>
          <w:tcPr>
            <w:tcW w:type="dxa" w:w="286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Universo do discurso</w:t>
            </w:r>
          </w:p>
        </w:tc>
      </w:tr>
      <w:tr>
        <w:trPr>
          <w:tblHeader w:val="false"/>
        </w:trPr>
        <w:tc>
          <w:tcPr>
            <w:tcW w:type="dxa" w:w="80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RI-34</w:t>
            </w:r>
          </w:p>
        </w:tc>
        <w:tc>
          <w:tcPr>
            <w:tcW w:type="dxa" w:w="536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O código ISRC identifica univocamente uma canção.</w:t>
            </w:r>
          </w:p>
        </w:tc>
        <w:tc>
          <w:tcPr>
            <w:tcW w:type="dxa" w:w="286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Universo do discurso</w:t>
            </w:r>
          </w:p>
        </w:tc>
      </w:tr>
      <w:tr>
        <w:trPr>
          <w:tblHeader w:val="false"/>
        </w:trPr>
        <w:tc>
          <w:tcPr>
            <w:tcW w:type="dxa" w:w="80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RI-35</w:t>
            </w:r>
          </w:p>
        </w:tc>
        <w:tc>
          <w:tcPr>
            <w:tcW w:type="dxa" w:w="536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O código ISNI identifica univocamente um artista.</w:t>
            </w:r>
          </w:p>
        </w:tc>
        <w:tc>
          <w:tcPr>
            <w:tcW w:type="dxa" w:w="286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Universo do discurso</w:t>
            </w:r>
          </w:p>
        </w:tc>
      </w:tr>
      <w:tr>
        <w:trPr>
          <w:tblHeader w:val="false"/>
        </w:trPr>
        <w:tc>
          <w:tcPr>
            <w:tcW w:type="dxa" w:w="80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RI-36</w:t>
            </w:r>
          </w:p>
        </w:tc>
        <w:tc>
          <w:tcPr>
            <w:tcW w:type="dxa" w:w="536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O código EAN-13 identifica univocamente uma versão de um álbum.</w:t>
            </w:r>
          </w:p>
        </w:tc>
        <w:tc>
          <w:tcPr>
            <w:tcW w:type="dxa" w:w="286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Universo do discurso</w:t>
            </w:r>
          </w:p>
        </w:tc>
      </w:tr>
      <w:tr>
        <w:trPr>
          <w:tblHeader w:val="false"/>
        </w:trPr>
        <w:tc>
          <w:tcPr>
            <w:tcW w:type="dxa" w:w="80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RI-37</w:t>
            </w:r>
          </w:p>
        </w:tc>
        <w:tc>
          <w:tcPr>
            <w:tcW w:type="dxa" w:w="536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O número de uma fatura identifica univocamente a fatura.</w:t>
            </w:r>
          </w:p>
        </w:tc>
        <w:tc>
          <w:tcPr>
            <w:tcW w:type="dxa" w:w="286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Nota 7</w:t>
            </w:r>
          </w:p>
        </w:tc>
      </w:tr>
      <w:tr>
        <w:trPr>
          <w:tblHeader w:val="false"/>
        </w:trPr>
        <w:tc>
          <w:tcPr>
            <w:tcW w:type="dxa" w:w="80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RI-38</w:t>
            </w:r>
          </w:p>
        </w:tc>
        <w:tc>
          <w:tcPr>
            <w:tcW w:type="dxa" w:w="536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O número de faixa é único dentro de cada álbum.</w:t>
            </w:r>
          </w:p>
        </w:tc>
        <w:tc>
          <w:tcPr>
            <w:tcW w:type="dxa" w:w="286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Universo do discurso</w:t>
            </w:r>
          </w:p>
        </w:tc>
      </w:tr>
      <w:tr>
        <w:trPr>
          <w:tblHeader w:val="false"/>
        </w:trPr>
        <w:tc>
          <w:tcPr>
            <w:tcW w:type="dxa" w:w="80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RI-39</w:t>
            </w:r>
          </w:p>
        </w:tc>
        <w:tc>
          <w:tcPr>
            <w:tcW w:type="dxa" w:w="536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Se um álbum tiver mais do que uma versão no mesmo suporte físico, todas têm designação, e as designações são diferentes.</w:t>
            </w:r>
          </w:p>
        </w:tc>
        <w:tc>
          <w:tcPr>
            <w:tcW w:type="dxa" w:w="286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Universo do discurso, US9 c)</w:t>
            </w:r>
          </w:p>
        </w:tc>
      </w:tr>
      <w:tr>
        <w:trPr>
          <w:tblHeader w:val="false"/>
        </w:trPr>
        <w:tc>
          <w:tcPr>
            <w:tcW w:type="dxa" w:w="80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RI-40</w:t>
            </w:r>
          </w:p>
        </w:tc>
        <w:tc>
          <w:tcPr>
            <w:tcW w:type="dxa" w:w="536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Um utilizador tem, no máximo, um artista favorito.</w:t>
            </w:r>
          </w:p>
        </w:tc>
        <w:tc>
          <w:tcPr>
            <w:tcW w:type="dxa" w:w="286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US7 c)</w:t>
            </w:r>
          </w:p>
        </w:tc>
      </w:tr>
      <w:tr>
        <w:trPr>
          <w:tblHeader w:val="false"/>
        </w:trPr>
        <w:tc>
          <w:tcPr>
            <w:tcW w:type="dxa" w:w="80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RI-41</w:t>
            </w:r>
          </w:p>
        </w:tc>
        <w:tc>
          <w:tcPr>
            <w:tcW w:type="dxa" w:w="536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Uma versão só pode constar uma vez na coleção de um utilizador.</w:t>
            </w:r>
          </w:p>
        </w:tc>
        <w:tc>
          <w:tcPr>
            <w:tcW w:type="dxa" w:w="286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US10 c)</w:t>
            </w:r>
          </w:p>
        </w:tc>
      </w:tr>
      <w:tr>
        <w:trPr>
          <w:tblHeader w:val="false"/>
        </w:trPr>
        <w:tc>
          <w:tcPr>
            <w:tcW w:type="dxa" w:w="80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RI-42</w:t>
            </w:r>
          </w:p>
        </w:tc>
        <w:tc>
          <w:tcPr>
            <w:tcW w:type="dxa" w:w="536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Um álbum só pode constar uma vez em cada lista personalizada.</w:t>
            </w:r>
          </w:p>
        </w:tc>
        <w:tc>
          <w:tcPr>
            <w:tcW w:type="dxa" w:w="286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US17 c)</w:t>
            </w:r>
          </w:p>
        </w:tc>
      </w:tr>
      <w:tr>
        <w:trPr>
          <w:tblHeader w:val="false"/>
        </w:trPr>
        <w:tc>
          <w:tcPr>
            <w:tcW w:type="dxa" w:w="80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RI-43</w:t>
            </w:r>
          </w:p>
        </w:tc>
        <w:tc>
          <w:tcPr>
            <w:tcW w:type="dxa" w:w="536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O identificador de um pedido de nova versão é único.</w:t>
            </w:r>
          </w:p>
        </w:tc>
        <w:tc>
          <w:tcPr>
            <w:tcW w:type="dxa" w:w="286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US13 c)</w:t>
            </w:r>
          </w:p>
        </w:tc>
      </w:tr>
      <w:tr>
        <w:trPr>
          <w:tblHeader w:val="false"/>
        </w:trPr>
        <w:tc>
          <w:tcPr>
            <w:tcW w:type="dxa" w:w="80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RI-44</w:t>
            </w:r>
          </w:p>
        </w:tc>
        <w:tc>
          <w:tcPr>
            <w:tcW w:type="dxa" w:w="536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O estado de um pedido só pode ser "em análise", "aceite" ou "recusado", e o estado inicial é "em análise".</w:t>
            </w:r>
          </w:p>
        </w:tc>
        <w:tc>
          <w:tcPr>
            <w:tcW w:type="dxa" w:w="286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US12 d), US13 d), US24 b)</w:t>
            </w:r>
          </w:p>
        </w:tc>
      </w:tr>
      <w:tr>
        <w:trPr>
          <w:tblHeader w:val="false"/>
        </w:trPr>
        <w:tc>
          <w:tcPr>
            <w:tcW w:type="dxa" w:w="80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RI-45</w:t>
            </w:r>
          </w:p>
        </w:tc>
        <w:tc>
          <w:tcPr>
            <w:tcW w:type="dxa" w:w="536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Um pedido só pode ser aceite se o EAN-13 pedido não corresponder a uma versão já existente.</w:t>
            </w:r>
          </w:p>
        </w:tc>
        <w:tc>
          <w:tcPr>
            <w:tcW w:type="dxa" w:w="286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US24 c)</w:t>
            </w:r>
          </w:p>
        </w:tc>
      </w:tr>
      <w:tr>
        <w:trPr>
          <w:tblHeader w:val="false"/>
        </w:trPr>
        <w:tc>
          <w:tcPr>
            <w:tcW w:type="dxa" w:w="80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RI-46</w:t>
            </w:r>
          </w:p>
        </w:tc>
        <w:tc>
          <w:tcPr>
            <w:tcW w:type="dxa" w:w="536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Só pode ser colocada no carrinho uma versão disponível na loja (com unidades maiores que zero).</w:t>
            </w:r>
          </w:p>
        </w:tc>
        <w:tc>
          <w:tcPr>
            <w:tcW w:type="dxa" w:w="286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US26 a)</w:t>
            </w:r>
          </w:p>
        </w:tc>
      </w:tr>
      <w:tr>
        <w:trPr>
          <w:tblHeader w:val="false"/>
        </w:trPr>
        <w:tc>
          <w:tcPr>
            <w:tcW w:type="dxa" w:w="80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RI-47</w:t>
            </w:r>
          </w:p>
        </w:tc>
        <w:tc>
          <w:tcPr>
            <w:tcW w:type="dxa" w:w="536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Quando uma versão é registada com unidades maiores que zero, a data de início de disponibilidade tem de estar preenchida.</w:t>
            </w:r>
          </w:p>
        </w:tc>
        <w:tc>
          <w:tcPr>
            <w:tcW w:type="dxa" w:w="286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US22 g), US25 b)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4  Fluxos de trabalho</w:t>
      </w:r>
    </w:p>
    <w:p>
      <w:pPr>
        <w:jc w:val="both"/>
      </w:pPr>
      <w:r>
        <w:t xml:space="preserve">Os diagramas de atividades mostram os passos dos fluxos de trabalho que a aplicação web tem de suportar e quem executa cada passo. Cada diagrama está dividido em raias, uma por ator: o utilizador, o gestor da loja, a aplicação web e os serviços externos.</w:t>
      </w:r>
    </w:p>
    <w:p>
      <w:pPr>
        <w:jc w:val="both"/>
      </w:pPr>
      <w:r>
        <w:t xml:space="preserve">Foram escolhidos os fluxos que envolvem vários atores ou várias user stories, porque são os mais difíceis de implementar. O fluxo de compra, o mais complexo, foi representado num diagrama de alto nível, com o pagamento decomposto num diagrama de subatividade.</w:t>
      </w:r>
    </w:p>
    <w:p>
      <w:pPr>
        <w:keepNext/>
        <w:spacing w:before="160" w:after="80"/>
      </w:pPr>
      <w:r>
        <w:rPr>
          <w:i/>
          <w:iCs/>
          <w:color w:val="374151"/>
          <w:sz w:val="19"/>
          <w:szCs w:val="19"/>
        </w:rPr>
        <w:t xml:space="preserve">Tabela 6 — Diagramas de atividades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"/>
        <w:gridCol w:w="4011"/>
        <w:gridCol w:w="4013"/>
      </w:tblGrid>
      <w:tr>
        <w:trPr>
          <w:tblHeader/>
        </w:trPr>
        <w:tc>
          <w:tcPr>
            <w:tcW w:type="dxa" w:w="100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Figura</w:t>
            </w:r>
          </w:p>
        </w:tc>
        <w:tc>
          <w:tcPr>
            <w:tcW w:type="dxa" w:w="401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Fluxo</w:t>
            </w:r>
          </w:p>
        </w:tc>
        <w:tc>
          <w:tcPr>
            <w:tcW w:type="dxa" w:w="40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User stories</w:t>
            </w:r>
          </w:p>
        </w:tc>
      </w:tr>
      <w:tr>
        <w:trPr>
          <w:tblHeader w:val="false"/>
        </w:trPr>
        <w:tc>
          <w:tcPr>
            <w:tcW w:type="dxa" w:w="100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401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Comprar álbuns (alto nível)</w:t>
            </w:r>
          </w:p>
        </w:tc>
        <w:tc>
          <w:tcPr>
            <w:tcW w:type="dxa" w:w="40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US8, US9, US26, US27, US28</w:t>
            </w:r>
          </w:p>
        </w:tc>
      </w:tr>
      <w:tr>
        <w:trPr>
          <w:tblHeader w:val="false"/>
        </w:trPr>
        <w:tc>
          <w:tcPr>
            <w:tcW w:type="dxa" w:w="100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01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Pagar o carrinho (subatividade)</w:t>
            </w:r>
          </w:p>
        </w:tc>
        <w:tc>
          <w:tcPr>
            <w:tcW w:type="dxa" w:w="40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US28</w:t>
            </w:r>
          </w:p>
        </w:tc>
      </w:tr>
      <w:tr>
        <w:trPr>
          <w:tblHeader w:val="false"/>
        </w:trPr>
        <w:tc>
          <w:tcPr>
            <w:tcW w:type="dxa" w:w="100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401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Pedido de nova versão de um álbum</w:t>
            </w:r>
          </w:p>
        </w:tc>
        <w:tc>
          <w:tcPr>
            <w:tcW w:type="dxa" w:w="40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US9, US10, US12, US13, US14, US24</w:t>
            </w:r>
          </w:p>
        </w:tc>
      </w:tr>
      <w:tr>
        <w:trPr>
          <w:tblHeader w:val="false"/>
        </w:trPr>
        <w:tc>
          <w:tcPr>
            <w:tcW w:type="dxa" w:w="100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401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Criar conta e iniciar sessão</w:t>
            </w:r>
          </w:p>
        </w:tc>
        <w:tc>
          <w:tcPr>
            <w:tcW w:type="dxa" w:w="40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US1, US2, US19</w:t>
            </w:r>
          </w:p>
        </w:tc>
      </w:tr>
      <w:tr>
        <w:trPr>
          <w:tblHeader w:val="false"/>
        </w:trPr>
        <w:tc>
          <w:tcPr>
            <w:tcW w:type="dxa" w:w="100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401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Gerir o catálogo</w:t>
            </w:r>
          </w:p>
        </w:tc>
        <w:tc>
          <w:tcPr>
            <w:tcW w:type="dxa" w:w="40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US20, US22, US25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  Comprar álbuns</w:t>
      </w:r>
    </w:p>
    <w:p>
      <w:pPr>
        <w:jc w:val="both"/>
      </w:pPr>
      <w:r>
        <w:t xml:space="preserve">O utilizador pesquisa um álbum, abre a sua página, escolhe uma versão e, se estiver disponível na loja, coloca-a no carrinho. Pode repetir estes passos para vários álbuns e remover itens antes de pagar.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105275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 xml:space="preserve">Figura 9 — Comprar álbuns (alto nível)</w:t>
      </w:r>
    </w:p>
    <w:p>
      <w:pPr>
        <w:jc w:val="both"/>
      </w:pPr>
      <w:r>
        <w:t xml:space="preserve">O pagamento (Figura 10) envolve o serviço externo escolhido pelo utilizador, Stripe ou PayPal:</w:t>
      </w:r>
    </w:p>
    <w:p>
      <w:pPr>
        <w:pStyle w:val="ListParagraph"/>
        <w:numPr>
          <w:ilvl w:val="0"/>
          <w:numId w:val="3"/>
        </w:numPr>
      </w:pPr>
      <w:r>
        <w:t xml:space="preserve">A aplicação calcula o total e inicia o pagamento no serviço.</w:t>
      </w:r>
    </w:p>
    <w:p>
      <w:pPr>
        <w:pStyle w:val="ListParagraph"/>
        <w:numPr>
          <w:ilvl w:val="0"/>
          <w:numId w:val="3"/>
        </w:numPr>
      </w:pPr>
      <w:r>
        <w:t xml:space="preserve">O utilizador introduz os dados de pagamento na página do serviço, pelo que a aplicação nunca trata os dados do cartão.</w:t>
      </w:r>
    </w:p>
    <w:p>
      <w:pPr>
        <w:pStyle w:val="ListParagraph"/>
        <w:numPr>
          <w:ilvl w:val="0"/>
          <w:numId w:val="3"/>
        </w:numPr>
      </w:pPr>
      <w:r>
        <w:t xml:space="preserve">O serviço envia o resultado à aplicação, que espera por ele antes de continuar (US28 c).</w:t>
      </w:r>
    </w:p>
    <w:p>
      <w:pPr>
        <w:pStyle w:val="ListParagraph"/>
        <w:numPr>
          <w:ilvl w:val="0"/>
          <w:numId w:val="3"/>
        </w:numPr>
      </w:pPr>
      <w:r>
        <w:t xml:space="preserve">Se o pagamento tiver sucesso, a aplicação emite a fatura, adiciona as versões à coleção do utilizador, desconta as unidades vendidas e, se tiver sido vendida a última unidade, regista a data da última venda (RI-17). No fim mostra um resumo.</w:t>
      </w:r>
    </w:p>
    <w:p>
      <w:pPr>
        <w:pStyle w:val="ListParagraph"/>
        <w:numPr>
          <w:ilvl w:val="0"/>
          <w:numId w:val="3"/>
        </w:numPr>
      </w:pPr>
      <w:r>
        <w:t xml:space="preserve">Se o pagamento falhar, o utilizador pode tentar com outro serviço ou cancelar (US28 g).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238625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 xml:space="preserve">Figura 10 — Pagar o carrinho (subatividade)</w:t>
      </w:r>
    </w:p>
    <w:p>
      <w:pPr>
        <w:pStyle w:val="Heading2"/>
      </w:pPr>
      <w:r>
        <w:t xml:space="preserve">4.2  Pedido de nova versão de um álbum</w:t>
      </w:r>
    </w:p>
    <w:p>
      <w:pPr>
        <w:jc w:val="both"/>
      </w:pPr>
      <w:r>
        <w:t xml:space="preserve">Este fluxo junta quatro user stories e três atores:</w:t>
      </w:r>
    </w:p>
    <w:p>
      <w:pPr>
        <w:pStyle w:val="ListParagraph"/>
        <w:numPr>
          <w:ilvl w:val="0"/>
          <w:numId w:val="4"/>
        </w:numPr>
      </w:pPr>
      <w:r>
        <w:t xml:space="preserve">O utilizador escolhe um álbum e preenche os dados da nova versão. A aplicação valida o EAN-13 e o suporte físico e guarda o pedido com o estado "em análise" (US12).</w:t>
      </w:r>
    </w:p>
    <w:p>
      <w:pPr>
        <w:pStyle w:val="ListParagraph"/>
        <w:numPr>
          <w:ilvl w:val="0"/>
          <w:numId w:val="4"/>
        </w:numPr>
      </w:pPr>
      <w:r>
        <w:t xml:space="preserve">O gestor abre o pedido e decide. Se a versão for nova e interessante para a loja, a aplicação cria a versão no álbum e muda o estado para "aceite"; caso contrário, muda-o para "recusado" (US24).</w:t>
      </w:r>
    </w:p>
    <w:p>
      <w:pPr>
        <w:pStyle w:val="ListParagraph"/>
        <w:numPr>
          <w:ilvl w:val="0"/>
          <w:numId w:val="4"/>
        </w:numPr>
      </w:pPr>
      <w:r>
        <w:t xml:space="preserve">Em ambos os casos é criada uma notificação, que o utilizador vê no dashboard (US14).</w:t>
      </w:r>
    </w:p>
    <w:p>
      <w:pPr>
        <w:pStyle w:val="ListParagraph"/>
        <w:numPr>
          <w:ilvl w:val="0"/>
          <w:numId w:val="4"/>
        </w:numPr>
      </w:pPr>
      <w:r>
        <w:t xml:space="preserve">Se o pedido foi aceite, a nova versão aparece na página do álbum e o utilizador pode adicioná-la à coleção (US9, US10).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97205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 xml:space="preserve">Figura 11 — Pedido de nova versão de um álbum</w:t>
      </w:r>
    </w:p>
    <w:p>
      <w:pPr>
        <w:pStyle w:val="Heading2"/>
      </w:pPr>
      <w:r>
        <w:t xml:space="preserve">4.3  Criar conta e iniciar sessão</w:t>
      </w:r>
    </w:p>
    <w:p>
      <w:pPr>
        <w:jc w:val="both"/>
      </w:pPr>
      <w:r>
        <w:t xml:space="preserve">Na criação de conta, a aplicação mostra os requisitos do username e da palavra-passe e valida os dados (RI-18 a RI-24). Se forem válidos, a palavra-passe é cifrada e a morada é enviada ao serviço de geocodificação. Se a morada for encontrada, a conta é guardada com as coordenadas; caso contrário, é guardada sem elas, e o perfil não mostra o mapa (US3).</w:t>
      </w:r>
    </w:p>
    <w:p>
      <w:pPr>
        <w:jc w:val="both"/>
      </w:pPr>
      <w:r>
        <w:t xml:space="preserve">No início de sessão, se as credenciais estiverem erradas, a mensagem de erro é genérica e não revela se o username existe (US2 b). Se estiverem certas, a aplicação mostra o dashboard.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386715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 xml:space="preserve">Figura 12 — Criar conta e iniciar sessão</w:t>
      </w:r>
    </w:p>
    <w:p>
      <w:pPr>
        <w:pStyle w:val="Heading2"/>
      </w:pPr>
      <w:r>
        <w:t xml:space="preserve">4.4  Gerir o catálogo</w:t>
      </w:r>
    </w:p>
    <w:p>
      <w:pPr>
        <w:jc w:val="both"/>
      </w:pPr>
      <w:r>
        <w:t xml:space="preserve">O gestor regista o artista, se ainda não existir (US20). Depois regista um álbum novo, com a primeira versão, ou acrescenta uma versão a um álbum existente (US22). Se a versão for registada com unidades, a aplicação preenche automaticamente a data de início de disponibilidade (US22 g).</w:t>
      </w:r>
    </w:p>
    <w:p>
      <w:pPr>
        <w:jc w:val="both"/>
      </w:pPr>
      <w:r>
        <w:t xml:space="preserve">Mais tarde, na página do álbum, o gestor pode alterar as unidades de uma versão. Se for a primeira vez que essa versão é posta à venda, a aplicação pede o preço e regista a data de disponibilidade (US25 b).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36195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 xml:space="preserve">Figura 13 — Gerir o catálogo</w:t>
      </w:r>
    </w:p>
    <w:p>
      <w:pPr>
        <w:pStyle w:val="Heading1"/>
        <w:pageBreakBefore/>
      </w:pPr>
      <w:r>
        <w:t xml:space="preserve">5  Esboços da interface</w:t>
      </w:r>
    </w:p>
    <w:p>
      <w:pPr>
        <w:jc w:val="both"/>
      </w:pPr>
      <w:r>
        <w:t xml:space="preserve">Os esboços mostram como o utilizador e o gestor interagem com a aplicação, e ajudam a perceber a complexidade das user stories antes de as implementar. Como pede o enunciado, o foco está nas funcionalidades mais complexas: as que juntam várias user stories no mesmo ecrã ou envolvem serviços externos.</w:t>
      </w:r>
    </w:p>
    <w:p>
      <w:pPr>
        <w:jc w:val="both"/>
      </w:pPr>
      <w:r>
        <w:t xml:space="preserve">Os esboços são de baixa fidelidade: mostram a estrutura, os dados e as ações de cada ecrã, mas não o aspeto gráfico final. Cada esboço tem notas numeradas, a amarelo, que indicam a user story ou a restrição que justifica cada elemento.</w:t>
      </w:r>
    </w:p>
    <w:p>
      <w:pPr>
        <w:pStyle w:val="Heading2"/>
      </w:pPr>
      <w:r>
        <w:t xml:space="preserve">5.1  Página de álbum</w:t>
      </w:r>
    </w:p>
    <w:p>
      <w:pPr>
        <w:jc w:val="both"/>
      </w:pPr>
      <w:r>
        <w:t xml:space="preserve">É o ecrã mais complexo, porque junta cinco user stories. Mostra os dados do álbum, as faixas e uma tabela de versões. Para cada versão aparece o estado na loja: disponível, esgotada (com a data da última venda) ou "nunca esteve disponível". Os botões "Coleção" e "Carrinho" atuam sobre a versão, e o do carrinho só fica ativo se houver unidades. O gestor vê uma coluna adicional para alterar as unidades. O botão "Adicionar a uma lista" atua sobre o álbum, porque as listas guardam álbuns.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4410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 xml:space="preserve">Figura 14 — Página de álbum</w:t>
      </w:r>
    </w:p>
    <w:p>
      <w:pPr>
        <w:pStyle w:val="Heading2"/>
      </w:pPr>
      <w:r>
        <w:t xml:space="preserve">5.2  Carrinho e pagamento</w:t>
      </w:r>
    </w:p>
    <w:p>
      <w:pPr>
        <w:jc w:val="both"/>
      </w:pPr>
      <w:r>
        <w:t xml:space="preserve">Os álbuns aparecem do mais recente para o mais antigo, com o total no fim. Ao pagar, o utilizador escolhe entre Stripe e PayPal e é redirecionado para a página segura do serviço. O esboço mostra também as mensagens de falha e de sucesso.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 xml:space="preserve">Figura 15 — Carrinho e pagamento</w:t>
      </w:r>
    </w:p>
    <w:p>
      <w:pPr>
        <w:pStyle w:val="Heading2"/>
      </w:pPr>
      <w:r>
        <w:t xml:space="preserve">5.3  Conta, perfil e pesquisa</w:t>
      </w:r>
    </w:p>
    <w:p>
      <w:pPr>
        <w:jc w:val="both"/>
      </w:pPr>
      <w:r>
        <w:t xml:space="preserve">Na criação de conta, os requisitos do username e da palavra-passe estão sempre visíveis e os erros aparecem junto ao campo. O campo da morada não tem sugestões automáticas, por causa da política de utilização do Nominatim. No perfil, a palavra-passe aparece mascarada e o mapa só aparece se a morada tiver coordenadas. Na pesquisa, um único campo serve para álbuns e artistas, com sugestões à medida que se escreve.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 xml:space="preserve">Figura 16 — Criar conta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 xml:space="preserve">Figura 17 — Perfil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 xml:space="preserve">Figura 18 — Pesquisa</w:t>
      </w:r>
    </w:p>
    <w:p>
      <w:pPr>
        <w:pStyle w:val="Heading2"/>
      </w:pPr>
      <w:r>
        <w:t xml:space="preserve">5.4  Coleção, pedidos e dashboard</w:t>
      </w:r>
    </w:p>
    <w:p>
      <w:pPr>
        <w:jc w:val="both"/>
      </w:pPr>
      <w:r>
        <w:t xml:space="preserve">A coleção é uma tabela que se pode ordenar por qualquer coluna, com ligações para as páginas do álbum e do artista. A página de pedidos tem filtro por estado, um formulário para pedidos novos e o painel de notificações. O dashboard dá acesso a todas as funcionalidades do utilizador.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 xml:space="preserve">Figura 19 — Coleção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 xml:space="preserve">Figura 20 — Pedidos e notificações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 xml:space="preserve">Figura 21 — Dashboard</w:t>
      </w:r>
    </w:p>
    <w:p>
      <w:pPr>
        <w:pStyle w:val="Heading2"/>
      </w:pPr>
      <w:r>
        <w:t xml:space="preserve">5.5  Ecrãs do gestor</w:t>
      </w:r>
    </w:p>
    <w:p>
      <w:pPr>
        <w:jc w:val="both"/>
      </w:pPr>
      <w:r>
        <w:t xml:space="preserve">O formulário de registo alterna entre "novo álbum" e "nova versão de um álbum existente", e a data de disponibilidade é preenchida automaticamente quando há unidades. As estatísticas mostram as três tabelas pedidas na US29 e um mapa com as moradas dos cinco maiores colecionadores.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 xml:space="preserve">Figura 22 — Registar álbum ou versão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 xml:space="preserve">Figura 23 — Estatísticas</w:t>
      </w:r>
    </w:p>
    <w:p>
      <w:pPr>
        <w:pStyle w:val="Heading2"/>
      </w:pPr>
      <w:r>
        <w:t xml:space="preserve">5.6  Adaptação a telemóvel</w:t>
      </w:r>
    </w:p>
    <w:p>
      <w:pPr>
        <w:jc w:val="both"/>
      </w:pPr>
      <w:r>
        <w:t xml:space="preserve">Para cumprir a RNF-04, os dois ecrãs mais carregados foram também desenhados para telemóvel: as tabelas passam a cartões empilhados, as faixas ficam numa secção que se expande e o total do carrinho fica numa barra fixa no fundo do ecrã.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32766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 xml:space="preserve">Figura 24 — Página de álbum no telemóvel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191125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74151"/>
          <w:sz w:val="19"/>
          <w:szCs w:val="19"/>
        </w:rPr>
        <w:t xml:space="preserve">Figura 25 — Carrinho no telemóvel</w:t>
      </w:r>
    </w:p>
    <w:p>
      <w:pPr>
        <w:pStyle w:val="Heading1"/>
        <w:pageBreakBefore/>
      </w:pPr>
      <w:r>
        <w:t xml:space="preserve">6  Pesquisa de serviços externos</w:t>
      </w:r>
    </w:p>
    <w:p>
      <w:pPr>
        <w:jc w:val="both"/>
      </w:pPr>
      <w:r>
        <w:t xml:space="preserve">A aplicação precisa de três serviços externos. Para cada um foram comparadas alternativas, com preços e condições consultados a 27 de outubro de 2026.</w:t>
      </w:r>
    </w:p>
    <w:p>
      <w:pPr>
        <w:keepNext/>
        <w:spacing w:before="160" w:after="80"/>
      </w:pPr>
      <w:r>
        <w:rPr>
          <w:i/>
          <w:iCs/>
          <w:color w:val="374151"/>
          <w:sz w:val="19"/>
          <w:szCs w:val="19"/>
        </w:rPr>
        <w:t xml:space="preserve">Tabela 7 — Resumo das escolhas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5"/>
        <w:gridCol w:w="1198"/>
        <w:gridCol w:w="2076"/>
        <w:gridCol w:w="2957"/>
      </w:tblGrid>
      <w:tr>
        <w:trPr>
          <w:tblHeader/>
        </w:trPr>
        <w:tc>
          <w:tcPr>
            <w:tcW w:type="dxa" w:w="279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Necessidade</w:t>
            </w:r>
          </w:p>
        </w:tc>
        <w:tc>
          <w:tcPr>
            <w:tcW w:type="dxa" w:w="11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User stories</w:t>
            </w:r>
          </w:p>
        </w:tc>
        <w:tc>
          <w:tcPr>
            <w:tcW w:type="dxa" w:w="207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Serviço escolhido</w:t>
            </w:r>
          </w:p>
        </w:tc>
        <w:tc>
          <w:tcPr>
            <w:tcW w:type="dxa" w:w="295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Alternativas comparadas</w:t>
            </w:r>
          </w:p>
        </w:tc>
      </w:tr>
      <w:tr>
        <w:trPr>
          <w:tblHeader w:val="false"/>
        </w:trPr>
        <w:tc>
          <w:tcPr>
            <w:tcW w:type="dxa" w:w="279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Mostrar mapas</w:t>
            </w:r>
          </w:p>
        </w:tc>
        <w:tc>
          <w:tcPr>
            <w:tcW w:type="dxa" w:w="11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US3, US29</w:t>
            </w:r>
          </w:p>
        </w:tc>
        <w:tc>
          <w:tcPr>
            <w:tcW w:type="dxa" w:w="207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Leaflet + OpenStreetMap</w:t>
            </w:r>
          </w:p>
        </w:tc>
        <w:tc>
          <w:tcPr>
            <w:tcW w:type="dxa" w:w="295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Google Maps, Mapbox</w:t>
            </w:r>
          </w:p>
        </w:tc>
      </w:tr>
      <w:tr>
        <w:trPr>
          <w:tblHeader w:val="false"/>
        </w:trPr>
        <w:tc>
          <w:tcPr>
            <w:tcW w:type="dxa" w:w="279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Converter moradas em coordenadas</w:t>
            </w:r>
          </w:p>
        </w:tc>
        <w:tc>
          <w:tcPr>
            <w:tcW w:type="dxa" w:w="11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US3, US29</w:t>
            </w:r>
          </w:p>
        </w:tc>
        <w:tc>
          <w:tcPr>
            <w:tcW w:type="dxa" w:w="207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Nominatim</w:t>
            </w:r>
          </w:p>
        </w:tc>
        <w:tc>
          <w:tcPr>
            <w:tcW w:type="dxa" w:w="295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Google Geocoding, Mapbox Geocoding</w:t>
            </w:r>
          </w:p>
        </w:tc>
      </w:tr>
      <w:tr>
        <w:trPr>
          <w:tblHeader w:val="false"/>
        </w:trPr>
        <w:tc>
          <w:tcPr>
            <w:tcW w:type="dxa" w:w="279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Pagamentos online</w:t>
            </w:r>
          </w:p>
        </w:tc>
        <w:tc>
          <w:tcPr>
            <w:tcW w:type="dxa" w:w="11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US28</w:t>
            </w:r>
          </w:p>
        </w:tc>
        <w:tc>
          <w:tcPr>
            <w:tcW w:type="dxa" w:w="207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Stripe e PayPal</w:t>
            </w:r>
          </w:p>
        </w:tc>
        <w:tc>
          <w:tcPr>
            <w:tcW w:type="dxa" w:w="295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Comparados entre si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6.1  Mapas</w:t>
      </w:r>
    </w:p>
    <w:p>
      <w:pPr>
        <w:keepNext/>
        <w:spacing w:before="160" w:after="80"/>
      </w:pPr>
      <w:r>
        <w:rPr>
          <w:i/>
          <w:iCs/>
          <w:color w:val="374151"/>
          <w:sz w:val="19"/>
          <w:szCs w:val="19"/>
        </w:rPr>
        <w:t xml:space="preserve">Tabela 8 — Comparação de serviços de mapas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7"/>
        <w:gridCol w:w="1444"/>
        <w:gridCol w:w="2939"/>
        <w:gridCol w:w="3096"/>
      </w:tblGrid>
      <w:tr>
        <w:trPr>
          <w:tblHeader/>
        </w:trPr>
        <w:tc>
          <w:tcPr>
            <w:tcW w:type="dxa" w:w="154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Critério</w:t>
            </w:r>
          </w:p>
        </w:tc>
        <w:tc>
          <w:tcPr>
            <w:tcW w:type="dxa" w:w="144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Leaflet + OpenStreetMap</w:t>
            </w:r>
          </w:p>
        </w:tc>
        <w:tc>
          <w:tcPr>
            <w:tcW w:type="dxa" w:w="293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Google Maps</w:t>
            </w:r>
          </w:p>
        </w:tc>
        <w:tc>
          <w:tcPr>
            <w:tcW w:type="dxa" w:w="309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Mapbox</w:t>
            </w:r>
          </w:p>
        </w:tc>
      </w:tr>
      <w:tr>
        <w:trPr>
          <w:tblHeader w:val="false"/>
        </w:trPr>
        <w:tc>
          <w:tcPr>
            <w:tcW w:type="dxa" w:w="154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Custo</w:t>
            </w:r>
          </w:p>
        </w:tc>
        <w:tc>
          <w:tcPr>
            <w:tcW w:type="dxa" w:w="144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Gratuito</w:t>
            </w:r>
          </w:p>
        </w:tc>
        <w:tc>
          <w:tcPr>
            <w:tcW w:type="dxa" w:w="293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10 000 carregamentos/mês grátis; depois 7 USD por 1000</w:t>
            </w:r>
          </w:p>
        </w:tc>
        <w:tc>
          <w:tcPr>
            <w:tcW w:type="dxa" w:w="309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Cerca de 50 000 carregamentos/mês grátis; depois cerca de 5 USD por 1000</w:t>
            </w:r>
          </w:p>
        </w:tc>
      </w:tr>
      <w:tr>
        <w:trPr>
          <w:tblHeader w:val="false"/>
        </w:trPr>
        <w:tc>
          <w:tcPr>
            <w:tcW w:type="dxa" w:w="154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Conta ou cartão</w:t>
            </w:r>
          </w:p>
        </w:tc>
        <w:tc>
          <w:tcPr>
            <w:tcW w:type="dxa" w:w="144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Não precisa</w:t>
            </w:r>
          </w:p>
        </w:tc>
        <w:tc>
          <w:tcPr>
            <w:tcW w:type="dxa" w:w="293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Conta com faturação ativa</w:t>
            </w:r>
          </w:p>
        </w:tc>
        <w:tc>
          <w:tcPr>
            <w:tcW w:type="dxa" w:w="309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Conta e token</w:t>
            </w:r>
          </w:p>
        </w:tc>
      </w:tr>
      <w:tr>
        <w:trPr>
          <w:tblHeader w:val="false"/>
        </w:trPr>
        <w:tc>
          <w:tcPr>
            <w:tcW w:type="dxa" w:w="154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Código aberto</w:t>
            </w:r>
          </w:p>
        </w:tc>
        <w:tc>
          <w:tcPr>
            <w:tcW w:type="dxa" w:w="144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Sim (licença BSD)</w:t>
            </w:r>
          </w:p>
        </w:tc>
        <w:tc>
          <w:tcPr>
            <w:tcW w:type="dxa" w:w="293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Não</w:t>
            </w:r>
          </w:p>
        </w:tc>
        <w:tc>
          <w:tcPr>
            <w:tcW w:type="dxa" w:w="309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Não</w:t>
            </w:r>
          </w:p>
        </w:tc>
      </w:tr>
      <w:tr>
        <w:trPr>
          <w:tblHeader w:val="false"/>
        </w:trPr>
        <w:tc>
          <w:tcPr>
            <w:tcW w:type="dxa" w:w="154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Funcionalidades necessárias</w:t>
            </w:r>
          </w:p>
        </w:tc>
        <w:tc>
          <w:tcPr>
            <w:tcW w:type="dxa" w:w="144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Mapa, marcadores e popups</w:t>
            </w:r>
          </w:p>
        </w:tc>
        <w:tc>
          <w:tcPr>
            <w:tcW w:type="dxa" w:w="293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Todas</w:t>
            </w:r>
          </w:p>
        </w:tc>
        <w:tc>
          <w:tcPr>
            <w:tcW w:type="dxa" w:w="309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Todas</w:t>
            </w:r>
          </w:p>
        </w:tc>
      </w:tr>
    </w:tbl>
    <w:p>
      <w:pPr>
        <w:spacing w:after="120"/>
      </w:pPr>
    </w:p>
    <w:p>
      <w:pPr>
        <w:jc w:val="both"/>
      </w:pPr>
      <w:r>
        <w:rPr>
          <w:b/>
          <w:bCs/>
        </w:rPr>
        <w:t xml:space="preserve">Escolha: Leaflet + OpenStreetMap.</w:t>
      </w:r>
      <w:r>
        <w:t xml:space="preserve"> É gratuito e não exige conta nem cartão de crédito (RNF-15). É de código aberto, coerente com a RNF-05. As user stories só precisam de mostrar marcadores num mapa, o que o Leaflet faz com pouco código. É também a biblioteca sugerida no enunciado.</w:t>
      </w:r>
    </w:p>
    <w:p>
      <w:pPr>
        <w:pStyle w:val="Heading2"/>
      </w:pPr>
      <w:r>
        <w:t xml:space="preserve">6.2  Geocodificação</w:t>
      </w:r>
    </w:p>
    <w:p>
      <w:pPr>
        <w:keepNext/>
        <w:spacing w:before="160" w:after="80"/>
      </w:pPr>
      <w:r>
        <w:rPr>
          <w:i/>
          <w:iCs/>
          <w:color w:val="374151"/>
          <w:sz w:val="19"/>
          <w:szCs w:val="19"/>
        </w:rPr>
        <w:t xml:space="preserve">Tabela 9 — Comparação de serviços de geocodificação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3"/>
        <w:gridCol w:w="2010"/>
        <w:gridCol w:w="2385"/>
        <w:gridCol w:w="2808"/>
      </w:tblGrid>
      <w:tr>
        <w:trPr>
          <w:tblHeader/>
        </w:trPr>
        <w:tc>
          <w:tcPr>
            <w:tcW w:type="dxa" w:w="182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Critério</w:t>
            </w:r>
          </w:p>
        </w:tc>
        <w:tc>
          <w:tcPr>
            <w:tcW w:type="dxa" w:w="20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Nominatim</w:t>
            </w:r>
          </w:p>
        </w:tc>
        <w:tc>
          <w:tcPr>
            <w:tcW w:type="dxa" w:w="23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Google Geocoding</w:t>
            </w:r>
          </w:p>
        </w:tc>
        <w:tc>
          <w:tcPr>
            <w:tcW w:type="dxa" w:w="280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Mapbox Geocoding</w:t>
            </w:r>
          </w:p>
        </w:tc>
      </w:tr>
      <w:tr>
        <w:trPr>
          <w:tblHeader w:val="false"/>
        </w:trPr>
        <w:tc>
          <w:tcPr>
            <w:tcW w:type="dxa" w:w="182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Custo</w:t>
            </w:r>
          </w:p>
        </w:tc>
        <w:tc>
          <w:tcPr>
            <w:tcW w:type="dxa" w:w="20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Gratuito</w:t>
            </w:r>
          </w:p>
        </w:tc>
        <w:tc>
          <w:tcPr>
            <w:tcW w:type="dxa" w:w="23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10 000 pedidos/mês grátis; depois 5 USD por 1000</w:t>
            </w:r>
          </w:p>
        </w:tc>
        <w:tc>
          <w:tcPr>
            <w:tcW w:type="dxa" w:w="280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100 000 pedidos/mês grátis, só para resultados temporários</w:t>
            </w:r>
          </w:p>
        </w:tc>
      </w:tr>
      <w:tr>
        <w:trPr>
          <w:tblHeader w:val="false"/>
        </w:trPr>
        <w:tc>
          <w:tcPr>
            <w:tcW w:type="dxa" w:w="182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Guardar coordenadas na base de dados</w:t>
            </w:r>
          </w:p>
        </w:tc>
        <w:tc>
          <w:tcPr>
            <w:tcW w:type="dxa" w:w="20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Permitido (licença ODbL, com atribuição)</w:t>
            </w:r>
          </w:p>
        </w:tc>
        <w:tc>
          <w:tcPr>
            <w:tcW w:type="dxa" w:w="23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Restrito pelos termos</w:t>
            </w:r>
          </w:p>
        </w:tc>
        <w:tc>
          <w:tcPr>
            <w:tcW w:type="dxa" w:w="280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Pago (modalidade "permanente")</w:t>
            </w:r>
          </w:p>
        </w:tc>
      </w:tr>
      <w:tr>
        <w:trPr>
          <w:tblHeader w:val="false"/>
        </w:trPr>
        <w:tc>
          <w:tcPr>
            <w:tcW w:type="dxa" w:w="182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Limite</w:t>
            </w:r>
          </w:p>
        </w:tc>
        <w:tc>
          <w:tcPr>
            <w:tcW w:type="dxa" w:w="20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1 pedido por segundo</w:t>
            </w:r>
          </w:p>
        </w:tc>
        <w:tc>
          <w:tcPr>
            <w:tcW w:type="dxa" w:w="23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Por quota</w:t>
            </w:r>
          </w:p>
        </w:tc>
        <w:tc>
          <w:tcPr>
            <w:tcW w:type="dxa" w:w="280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Por quota</w:t>
            </w:r>
          </w:p>
        </w:tc>
      </w:tr>
    </w:tbl>
    <w:p>
      <w:pPr>
        <w:spacing w:after="120"/>
      </w:pPr>
    </w:p>
    <w:p>
      <w:pPr>
        <w:jc w:val="both"/>
      </w:pPr>
      <w:r>
        <w:rPr>
          <w:b/>
          <w:bCs/>
        </w:rPr>
        <w:t xml:space="preserve">Escolha: Nominatim.</w:t>
      </w:r>
      <w:r>
        <w:t xml:space="preserve"> O modelo de dados guarda as coordenadas na morada do utilizador, o que o Nominatim permite e os concorrentes restringem ou cobram. A aplicação só geocodifica quando o utilizador cria a conta ou altera a morada, muito abaixo do limite de 1 pedido por segundo.</w:t>
      </w:r>
    </w:p>
    <w:p>
      <w:pPr>
        <w:jc w:val="both"/>
      </w:pPr>
      <w:r>
        <w:t xml:space="preserve">A política de utilização do Nominatim impõe alguns cuidados, que a equipa vai respeitar:</w:t>
      </w:r>
    </w:p>
    <w:p>
      <w:pPr>
        <w:pStyle w:val="ListParagraph"/>
        <w:numPr>
          <w:ilvl w:val="0"/>
          <w:numId w:val="2"/>
        </w:numPr>
      </w:pPr>
      <w:r>
        <w:t xml:space="preserve">um pedido por morada, com o resultado guardado;</w:t>
      </w:r>
    </w:p>
    <w:p>
      <w:pPr>
        <w:pStyle w:val="ListParagraph"/>
        <w:numPr>
          <w:ilvl w:val="0"/>
          <w:numId w:val="2"/>
        </w:numPr>
      </w:pPr>
      <w:r>
        <w:t xml:space="preserve">sem pesquisa com preenchimento automático;</w:t>
      </w:r>
    </w:p>
    <w:p>
      <w:pPr>
        <w:pStyle w:val="ListParagraph"/>
        <w:numPr>
          <w:ilvl w:val="0"/>
          <w:numId w:val="2"/>
        </w:numPr>
      </w:pPr>
      <w:r>
        <w:t xml:space="preserve">identificação da aplicação e atribuição ao OpenStreetMap;</w:t>
      </w:r>
    </w:p>
    <w:p>
      <w:pPr>
        <w:pStyle w:val="ListParagraph"/>
        <w:numPr>
          <w:ilvl w:val="0"/>
          <w:numId w:val="2"/>
        </w:numPr>
      </w:pPr>
      <w:r>
        <w:t xml:space="preserve">envio só da rua, do código postal e da localidade, sem o nome do utilizador.</w:t>
      </w:r>
    </w:p>
    <w:p>
      <w:pPr>
        <w:pStyle w:val="Heading2"/>
      </w:pPr>
      <w:r>
        <w:t xml:space="preserve">6.3  Pagamentos</w:t>
      </w:r>
    </w:p>
    <w:p>
      <w:pPr>
        <w:jc w:val="both"/>
      </w:pPr>
      <w:r>
        <w:t xml:space="preserve">A US28 pede que o utilizador possa escolher o serviço de pagamentos e, se o pagamento falhar, escolher outro. Por isso a aplicação integra dois serviços.</w:t>
      </w:r>
    </w:p>
    <w:p>
      <w:pPr>
        <w:keepNext/>
        <w:spacing w:before="160" w:after="80"/>
      </w:pPr>
      <w:r>
        <w:rPr>
          <w:i/>
          <w:iCs/>
          <w:color w:val="374151"/>
          <w:sz w:val="19"/>
          <w:szCs w:val="19"/>
        </w:rPr>
        <w:t xml:space="preserve">Tabela 10 — Comparação de serviços de pagamento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9"/>
        <w:gridCol w:w="3597"/>
        <w:gridCol w:w="3410"/>
      </w:tblGrid>
      <w:tr>
        <w:trPr>
          <w:tblHeader/>
        </w:trPr>
        <w:tc>
          <w:tcPr>
            <w:tcW w:type="dxa" w:w="201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Critério</w:t>
            </w:r>
          </w:p>
        </w:tc>
        <w:tc>
          <w:tcPr>
            <w:tcW w:type="dxa" w:w="359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Stripe</w:t>
            </w:r>
          </w:p>
        </w:tc>
        <w:tc>
          <w:tcPr>
            <w:tcW w:type="dxa" w:w="34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PayPal</w:t>
            </w:r>
          </w:p>
        </w:tc>
      </w:tr>
      <w:tr>
        <w:trPr>
          <w:tblHeader w:val="false"/>
        </w:trPr>
        <w:tc>
          <w:tcPr>
            <w:tcW w:type="dxa" w:w="201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Taxa por transação (Portugal)</w:t>
            </w:r>
          </w:p>
        </w:tc>
        <w:tc>
          <w:tcPr>
            <w:tcW w:type="dxa" w:w="359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Cartões do EEE: 1,5% + 0,25 € (premium: 2,8% + 0,25 €)</w:t>
            </w:r>
          </w:p>
        </w:tc>
        <w:tc>
          <w:tcPr>
            <w:tcW w:type="dxa" w:w="34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Conta PayPal: 2,9% + 0,35 €; cartões: 1,2% + 0,35 €</w:t>
            </w:r>
          </w:p>
        </w:tc>
      </w:tr>
      <w:tr>
        <w:trPr>
          <w:tblHeader w:val="false"/>
        </w:trPr>
        <w:tc>
          <w:tcPr>
            <w:tcW w:type="dxa" w:w="201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Mensalidade</w:t>
            </w:r>
          </w:p>
        </w:tc>
        <w:tc>
          <w:tcPr>
            <w:tcW w:type="dxa" w:w="359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Não tem</w:t>
            </w:r>
          </w:p>
        </w:tc>
        <w:tc>
          <w:tcPr>
            <w:tcW w:type="dxa" w:w="34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Não tem</w:t>
            </w:r>
          </w:p>
        </w:tc>
      </w:tr>
      <w:tr>
        <w:trPr>
          <w:tblHeader w:val="false"/>
        </w:trPr>
        <w:tc>
          <w:tcPr>
            <w:tcW w:type="dxa" w:w="201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Métodos de pagamento</w:t>
            </w:r>
          </w:p>
        </w:tc>
        <w:tc>
          <w:tcPr>
            <w:tcW w:type="dxa" w:w="359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Cartões, MB WAY, Apple Pay, Google Pay</w:t>
            </w:r>
          </w:p>
        </w:tc>
        <w:tc>
          <w:tcPr>
            <w:tcW w:type="dxa" w:w="34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Conta PayPal, cartões</w:t>
            </w:r>
          </w:p>
        </w:tc>
      </w:tr>
      <w:tr>
        <w:trPr>
          <w:tblHeader w:val="false"/>
        </w:trPr>
        <w:tc>
          <w:tcPr>
            <w:tcW w:type="dxa" w:w="201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Modo de testes</w:t>
            </w:r>
          </w:p>
        </w:tc>
        <w:tc>
          <w:tcPr>
            <w:tcW w:type="dxa" w:w="359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34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Sim (sandbox)</w:t>
            </w:r>
          </w:p>
        </w:tc>
      </w:tr>
      <w:tr>
        <w:trPr>
          <w:tblHeader w:val="false"/>
        </w:trPr>
        <w:tc>
          <w:tcPr>
            <w:tcW w:type="dxa" w:w="201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Integração com Node.js</w:t>
            </w:r>
          </w:p>
        </w:tc>
        <w:tc>
          <w:tcPr>
            <w:tcW w:type="dxa" w:w="359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SDK oficial e página de pagamento alojada</w:t>
            </w:r>
          </w:p>
        </w:tc>
        <w:tc>
          <w:tcPr>
            <w:tcW w:type="dxa" w:w="34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SDK oficial e botões JavaScript</w:t>
            </w:r>
          </w:p>
        </w:tc>
      </w:tr>
      <w:tr>
        <w:trPr>
          <w:tblHeader w:val="false"/>
        </w:trPr>
        <w:tc>
          <w:tcPr>
            <w:tcW w:type="dxa" w:w="201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Confirmação do resultado</w:t>
            </w:r>
          </w:p>
        </w:tc>
        <w:tc>
          <w:tcPr>
            <w:tcW w:type="dxa" w:w="359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Webhooks</w:t>
            </w:r>
          </w:p>
        </w:tc>
        <w:tc>
          <w:tcPr>
            <w:tcW w:type="dxa" w:w="34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Webhooks</w:t>
            </w:r>
          </w:p>
        </w:tc>
      </w:tr>
    </w:tbl>
    <w:p>
      <w:pPr>
        <w:spacing w:after="120"/>
      </w:pPr>
    </w:p>
    <w:p>
      <w:pPr>
        <w:jc w:val="both"/>
      </w:pPr>
      <w:r>
        <w:rPr>
          <w:b/>
          <w:bCs/>
        </w:rPr>
        <w:t xml:space="preserve">Escolha: Stripe como serviço principal e PayPal como alternativa.</w:t>
      </w:r>
      <w:r>
        <w:t xml:space="preserve"> O Stripe tem taxas mais baixas para cartões europeus e suporta MB WAY, muito usado em Portugal. A sua página de pagamento alojada evita que a aplicação trate dados de cartão (RNF-12). O PayPal serve quem prefere pagar com a conta PayPal. Os dois avisam o backend do resultado através de webhooks, o que permite cumprir a US28 c). Durante o desenvolvimento só se usam os modos de teste, sem pagamentos reais.</w:t>
      </w:r>
    </w:p>
    <w:p>
      <w:pPr>
        <w:pStyle w:val="Heading1"/>
        <w:pageBreakBefore/>
      </w:pPr>
      <w:r>
        <w:t xml:space="preserve">7  Suposições e questões em aberto</w:t>
      </w:r>
    </w:p>
    <w:p>
      <w:pPr>
        <w:jc w:val="both"/>
      </w:pPr>
      <w:r>
        <w:t xml:space="preserve">Durante o desenho foram encontrados pontos do enunciado ambíguos ou incompletos. Estas questões foram colocadas ao docente e, até haver resposta, a equipa seguiu as suposições indicadas.</w:t>
      </w:r>
    </w:p>
    <w:p>
      <w:pPr>
        <w:keepNext/>
        <w:spacing w:before="160" w:after="80"/>
      </w:pPr>
      <w:r>
        <w:rPr>
          <w:i/>
          <w:iCs/>
          <w:color w:val="374151"/>
          <w:sz w:val="19"/>
          <w:szCs w:val="19"/>
        </w:rPr>
        <w:t xml:space="preserve">Tabela 11 — Questões e suposições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9"/>
        <w:gridCol w:w="4198"/>
        <w:gridCol w:w="4199"/>
      </w:tblGrid>
      <w:tr>
        <w:trPr>
          <w:tblHeader/>
        </w:trPr>
        <w:tc>
          <w:tcPr>
            <w:tcW w:type="dxa" w:w="62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1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Questão</w:t>
            </w:r>
          </w:p>
        </w:tc>
        <w:tc>
          <w:tcPr>
            <w:tcW w:type="dxa" w:w="419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Suposição adotada</w:t>
            </w:r>
          </w:p>
        </w:tc>
      </w:tr>
      <w:tr>
        <w:trPr>
          <w:tblHeader w:val="false"/>
        </w:trPr>
        <w:tc>
          <w:tcPr>
            <w:tcW w:type="dxa" w:w="62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Q1</w:t>
            </w:r>
          </w:p>
        </w:tc>
        <w:tc>
          <w:tcPr>
            <w:tcW w:type="dxa" w:w="41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O critério f) da US28 está incompleto ("Caso tenha sido vendida a última unidade de algum álbum, deve").</w:t>
            </w:r>
          </w:p>
        </w:tc>
        <w:tc>
          <w:tcPr>
            <w:tcW w:type="dxa" w:w="419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Regista-se a data da última venda dessa versão (RI-17).</w:t>
            </w:r>
          </w:p>
        </w:tc>
      </w:tr>
      <w:tr>
        <w:trPr>
          <w:tblHeader w:val="false"/>
        </w:trPr>
        <w:tc>
          <w:tcPr>
            <w:tcW w:type="dxa" w:w="62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Q2</w:t>
            </w:r>
          </w:p>
        </w:tc>
        <w:tc>
          <w:tcPr>
            <w:tcW w:type="dxa" w:w="41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O estado de um pedido recusado chama-se "recusado" nas US13 e US14 e "rejeitado" na US24.</w:t>
            </w:r>
          </w:p>
        </w:tc>
        <w:tc>
          <w:tcPr>
            <w:tcW w:type="dxa" w:w="419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Usa-se "recusado".</w:t>
            </w:r>
          </w:p>
        </w:tc>
      </w:tr>
      <w:tr>
        <w:trPr>
          <w:tblHeader w:val="false"/>
        </w:trPr>
        <w:tc>
          <w:tcPr>
            <w:tcW w:type="dxa" w:w="62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Q3</w:t>
            </w:r>
          </w:p>
        </w:tc>
        <w:tc>
          <w:tcPr>
            <w:tcW w:type="dxa" w:w="41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 US3 pede para mostrar a palavra-passe no perfil, mas a RNF-12 recomenda guardá-la cifrada.</w:t>
            </w:r>
          </w:p>
        </w:tc>
        <w:tc>
          <w:tcPr>
            <w:tcW w:type="dxa" w:w="419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 palavra-passe é guardada cifrada e mostrada mascarada.</w:t>
            </w:r>
          </w:p>
        </w:tc>
      </w:tr>
      <w:tr>
        <w:trPr>
          <w:tblHeader w:val="false"/>
        </w:trPr>
        <w:tc>
          <w:tcPr>
            <w:tcW w:type="dxa" w:w="62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Q4</w:t>
            </w:r>
          </w:p>
        </w:tc>
        <w:tc>
          <w:tcPr>
            <w:tcW w:type="dxa" w:w="41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Nenhuma user story obrigatória regista as canções e faixas, mas a US9 mostra-as.</w:t>
            </w:r>
          </w:p>
        </w:tc>
        <w:tc>
          <w:tcPr>
            <w:tcW w:type="dxa" w:w="419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As faixas são importadas em bloco, por script ou endpoint (nota 12 do enunciado).</w:t>
            </w:r>
          </w:p>
        </w:tc>
      </w:tr>
      <w:tr>
        <w:trPr>
          <w:tblHeader w:val="false"/>
        </w:trPr>
        <w:tc>
          <w:tcPr>
            <w:tcW w:type="dxa" w:w="62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1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O enunciado não refere quantidades no carrinho nem nas faturas.</w:t>
            </w:r>
          </w:p>
        </w:tc>
        <w:tc>
          <w:tcPr>
            <w:tcW w:type="dxa" w:w="419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Cada linha corresponde a uma unidade de uma versão.</w:t>
            </w:r>
          </w:p>
        </w:tc>
      </w:tr>
      <w:tr>
        <w:trPr>
          <w:tblHeader w:val="false"/>
        </w:trPr>
        <w:tc>
          <w:tcPr>
            <w:tcW w:type="dxa" w:w="62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1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O registo de membros de grupos é uma funcionalidade extra (nota 11).</w:t>
            </w:r>
          </w:p>
        </w:tc>
        <w:tc>
          <w:tcPr>
            <w:tcW w:type="dxa" w:w="419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O modelo suporta membros, mas são opcionais.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Anexo A — Restrições de integridade por classe</w:t>
      </w:r>
    </w:p>
    <w:p>
      <w:pPr>
        <w:keepNext/>
        <w:spacing w:before="160" w:after="80"/>
      </w:pPr>
      <w:r>
        <w:rPr>
          <w:i/>
          <w:iCs/>
          <w:color w:val="374151"/>
          <w:sz w:val="19"/>
          <w:szCs w:val="19"/>
        </w:rPr>
        <w:t xml:space="preserve">Tabela 12 — Associação das restrições às classes do modelo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0"/>
        <w:gridCol w:w="3585"/>
        <w:gridCol w:w="2721"/>
      </w:tblGrid>
      <w:tr>
        <w:trPr>
          <w:tblHeader/>
        </w:trPr>
        <w:tc>
          <w:tcPr>
            <w:tcW w:type="dxa" w:w="27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Classe</w:t>
            </w:r>
          </w:p>
        </w:tc>
        <w:tc>
          <w:tcPr>
            <w:tcW w:type="dxa" w:w="35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Atributo ou associação</w:t>
            </w:r>
          </w:p>
        </w:tc>
        <w:tc>
          <w:tcPr>
            <w:tcW w:type="dxa" w:w="272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Restrições</w:t>
            </w:r>
          </w:p>
        </w:tc>
      </w:tr>
      <w:tr>
        <w:trPr>
          <w:tblHeader w:val="false"/>
        </w:trPr>
        <w:tc>
          <w:tcPr>
            <w:tcW w:type="dxa" w:w="27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Artista</w:t>
            </w:r>
          </w:p>
        </w:tc>
        <w:tc>
          <w:tcPr>
            <w:tcW w:type="dxa" w:w="35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isni</w:t>
            </w:r>
          </w:p>
        </w:tc>
        <w:tc>
          <w:tcPr>
            <w:tcW w:type="dxa" w:w="272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RI-07, RI-35</w:t>
            </w:r>
          </w:p>
        </w:tc>
      </w:tr>
      <w:tr>
        <w:trPr>
          <w:tblHeader w:val="false"/>
        </w:trPr>
        <w:tc>
          <w:tcPr>
            <w:tcW w:type="dxa" w:w="27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Artista</w:t>
            </w:r>
          </w:p>
        </w:tc>
        <w:tc>
          <w:tcPr>
            <w:tcW w:type="dxa" w:w="35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anoInicioAtividade</w:t>
            </w:r>
          </w:p>
        </w:tc>
        <w:tc>
          <w:tcPr>
            <w:tcW w:type="dxa" w:w="272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RI-08</w:t>
            </w:r>
          </w:p>
        </w:tc>
      </w:tr>
      <w:tr>
        <w:trPr>
          <w:tblHeader w:val="false"/>
        </w:trPr>
        <w:tc>
          <w:tcPr>
            <w:tcW w:type="dxa" w:w="27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Grupo</w:t>
            </w:r>
          </w:p>
        </w:tc>
        <w:tc>
          <w:tcPr>
            <w:tcW w:type="dxa" w:w="35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membros</w:t>
            </w:r>
          </w:p>
        </w:tc>
        <w:tc>
          <w:tcPr>
            <w:tcW w:type="dxa" w:w="272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RI-31</w:t>
            </w:r>
          </w:p>
        </w:tc>
      </w:tr>
      <w:tr>
        <w:trPr>
          <w:tblHeader w:val="false"/>
        </w:trPr>
        <w:tc>
          <w:tcPr>
            <w:tcW w:type="dxa" w:w="27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Album</w:t>
            </w:r>
          </w:p>
        </w:tc>
        <w:tc>
          <w:tcPr>
            <w:tcW w:type="dxa" w:w="35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mbid</w:t>
            </w:r>
          </w:p>
        </w:tc>
        <w:tc>
          <w:tcPr>
            <w:tcW w:type="dxa" w:w="272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RI-01, RI-33</w:t>
            </w:r>
          </w:p>
        </w:tc>
      </w:tr>
      <w:tr>
        <w:trPr>
          <w:tblHeader w:val="false"/>
        </w:trPr>
        <w:tc>
          <w:tcPr>
            <w:tcW w:type="dxa" w:w="27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Album</w:t>
            </w:r>
          </w:p>
        </w:tc>
        <w:tc>
          <w:tcPr>
            <w:tcW w:type="dxa" w:w="35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tipo</w:t>
            </w:r>
          </w:p>
        </w:tc>
        <w:tc>
          <w:tcPr>
            <w:tcW w:type="dxa" w:w="272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RI-02</w:t>
            </w:r>
          </w:p>
        </w:tc>
      </w:tr>
      <w:tr>
        <w:trPr>
          <w:tblHeader w:val="false"/>
        </w:trPr>
        <w:tc>
          <w:tcPr>
            <w:tcW w:type="dxa" w:w="27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Album</w:t>
            </w:r>
          </w:p>
        </w:tc>
        <w:tc>
          <w:tcPr>
            <w:tcW w:type="dxa" w:w="35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anoLancamento</w:t>
            </w:r>
          </w:p>
        </w:tc>
        <w:tc>
          <w:tcPr>
            <w:tcW w:type="dxa" w:w="272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RI-09, RI-10, RI-11</w:t>
            </w:r>
          </w:p>
        </w:tc>
      </w:tr>
      <w:tr>
        <w:trPr>
          <w:tblHeader w:val="false"/>
        </w:trPr>
        <w:tc>
          <w:tcPr>
            <w:tcW w:type="dxa" w:w="27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Album</w:t>
            </w:r>
          </w:p>
        </w:tc>
        <w:tc>
          <w:tcPr>
            <w:tcW w:type="dxa" w:w="35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associação com Artista</w:t>
            </w:r>
          </w:p>
        </w:tc>
        <w:tc>
          <w:tcPr>
            <w:tcW w:type="dxa" w:w="272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RI-06, RI-32</w:t>
            </w:r>
          </w:p>
        </w:tc>
      </w:tr>
      <w:tr>
        <w:trPr>
          <w:tblHeader w:val="false"/>
        </w:trPr>
        <w:tc>
          <w:tcPr>
            <w:tcW w:type="dxa" w:w="27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Faixa</w:t>
            </w:r>
          </w:p>
        </w:tc>
        <w:tc>
          <w:tcPr>
            <w:tcW w:type="dxa" w:w="35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numero</w:t>
            </w:r>
          </w:p>
        </w:tc>
        <w:tc>
          <w:tcPr>
            <w:tcW w:type="dxa" w:w="272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RI-03, RI-38</w:t>
            </w:r>
          </w:p>
        </w:tc>
      </w:tr>
      <w:tr>
        <w:trPr>
          <w:tblHeader w:val="false"/>
        </w:trPr>
        <w:tc>
          <w:tcPr>
            <w:tcW w:type="dxa" w:w="27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Cancao</w:t>
            </w:r>
          </w:p>
        </w:tc>
        <w:tc>
          <w:tcPr>
            <w:tcW w:type="dxa" w:w="35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isrc</w:t>
            </w:r>
          </w:p>
        </w:tc>
        <w:tc>
          <w:tcPr>
            <w:tcW w:type="dxa" w:w="272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RI-04, RI-34</w:t>
            </w:r>
          </w:p>
        </w:tc>
      </w:tr>
      <w:tr>
        <w:trPr>
          <w:tblHeader w:val="false"/>
        </w:trPr>
        <w:tc>
          <w:tcPr>
            <w:tcW w:type="dxa" w:w="27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Cancao</w:t>
            </w:r>
          </w:p>
        </w:tc>
        <w:tc>
          <w:tcPr>
            <w:tcW w:type="dxa" w:w="35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duracao</w:t>
            </w:r>
          </w:p>
        </w:tc>
        <w:tc>
          <w:tcPr>
            <w:tcW w:type="dxa" w:w="272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RI-05</w:t>
            </w:r>
          </w:p>
        </w:tc>
      </w:tr>
      <w:tr>
        <w:trPr>
          <w:tblHeader w:val="false"/>
        </w:trPr>
        <w:tc>
          <w:tcPr>
            <w:tcW w:type="dxa" w:w="27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VersaoAlbum</w:t>
            </w:r>
          </w:p>
        </w:tc>
        <w:tc>
          <w:tcPr>
            <w:tcW w:type="dxa" w:w="35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suporte</w:t>
            </w:r>
          </w:p>
        </w:tc>
        <w:tc>
          <w:tcPr>
            <w:tcW w:type="dxa" w:w="272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RI-12</w:t>
            </w:r>
          </w:p>
        </w:tc>
      </w:tr>
      <w:tr>
        <w:trPr>
          <w:tblHeader w:val="false"/>
        </w:trPr>
        <w:tc>
          <w:tcPr>
            <w:tcW w:type="dxa" w:w="27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VersaoAlbum</w:t>
            </w:r>
          </w:p>
        </w:tc>
        <w:tc>
          <w:tcPr>
            <w:tcW w:type="dxa" w:w="35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ean13</w:t>
            </w:r>
          </w:p>
        </w:tc>
        <w:tc>
          <w:tcPr>
            <w:tcW w:type="dxa" w:w="272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RI-13, RI-36</w:t>
            </w:r>
          </w:p>
        </w:tc>
      </w:tr>
      <w:tr>
        <w:trPr>
          <w:tblHeader w:val="false"/>
        </w:trPr>
        <w:tc>
          <w:tcPr>
            <w:tcW w:type="dxa" w:w="27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VersaoAlbum</w:t>
            </w:r>
          </w:p>
        </w:tc>
        <w:tc>
          <w:tcPr>
            <w:tcW w:type="dxa" w:w="35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designacao</w:t>
            </w:r>
          </w:p>
        </w:tc>
        <w:tc>
          <w:tcPr>
            <w:tcW w:type="dxa" w:w="272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RI-39</w:t>
            </w:r>
          </w:p>
        </w:tc>
      </w:tr>
      <w:tr>
        <w:trPr>
          <w:tblHeader w:val="false"/>
        </w:trPr>
        <w:tc>
          <w:tcPr>
            <w:tcW w:type="dxa" w:w="27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DisponibilidadeLoja</w:t>
            </w:r>
          </w:p>
        </w:tc>
        <w:tc>
          <w:tcPr>
            <w:tcW w:type="dxa" w:w="35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dataInicio</w:t>
            </w:r>
          </w:p>
        </w:tc>
        <w:tc>
          <w:tcPr>
            <w:tcW w:type="dxa" w:w="272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RI-14, RI-47</w:t>
            </w:r>
          </w:p>
        </w:tc>
      </w:tr>
      <w:tr>
        <w:trPr>
          <w:tblHeader w:val="false"/>
        </w:trPr>
        <w:tc>
          <w:tcPr>
            <w:tcW w:type="dxa" w:w="27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DisponibilidadeLoja</w:t>
            </w:r>
          </w:p>
        </w:tc>
        <w:tc>
          <w:tcPr>
            <w:tcW w:type="dxa" w:w="35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unidades</w:t>
            </w:r>
          </w:p>
        </w:tc>
        <w:tc>
          <w:tcPr>
            <w:tcW w:type="dxa" w:w="272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RI-15</w:t>
            </w:r>
          </w:p>
        </w:tc>
      </w:tr>
      <w:tr>
        <w:trPr>
          <w:tblHeader w:val="false"/>
        </w:trPr>
        <w:tc>
          <w:tcPr>
            <w:tcW w:type="dxa" w:w="27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DisponibilidadeLoja</w:t>
            </w:r>
          </w:p>
        </w:tc>
        <w:tc>
          <w:tcPr>
            <w:tcW w:type="dxa" w:w="35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preco</w:t>
            </w:r>
          </w:p>
        </w:tc>
        <w:tc>
          <w:tcPr>
            <w:tcW w:type="dxa" w:w="272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RI-16</w:t>
            </w:r>
          </w:p>
        </w:tc>
      </w:tr>
      <w:tr>
        <w:trPr>
          <w:tblHeader w:val="false"/>
        </w:trPr>
        <w:tc>
          <w:tcPr>
            <w:tcW w:type="dxa" w:w="27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DisponibilidadeLoja</w:t>
            </w:r>
          </w:p>
        </w:tc>
        <w:tc>
          <w:tcPr>
            <w:tcW w:type="dxa" w:w="35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dataUltimaVenda</w:t>
            </w:r>
          </w:p>
        </w:tc>
        <w:tc>
          <w:tcPr>
            <w:tcW w:type="dxa" w:w="272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RI-17</w:t>
            </w:r>
          </w:p>
        </w:tc>
      </w:tr>
      <w:tr>
        <w:trPr>
          <w:tblHeader w:val="false"/>
        </w:trPr>
        <w:tc>
          <w:tcPr>
            <w:tcW w:type="dxa" w:w="27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ItemCarrinho</w:t>
            </w:r>
          </w:p>
        </w:tc>
        <w:tc>
          <w:tcPr>
            <w:tcW w:type="dxa" w:w="35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associação com VersaoAlbum</w:t>
            </w:r>
          </w:p>
        </w:tc>
        <w:tc>
          <w:tcPr>
            <w:tcW w:type="dxa" w:w="272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RI-46</w:t>
            </w:r>
          </w:p>
        </w:tc>
      </w:tr>
      <w:tr>
        <w:trPr>
          <w:tblHeader w:val="false"/>
        </w:trPr>
        <w:tc>
          <w:tcPr>
            <w:tcW w:type="dxa" w:w="27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Fatura</w:t>
            </w:r>
          </w:p>
        </w:tc>
        <w:tc>
          <w:tcPr>
            <w:tcW w:type="dxa" w:w="35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numero</w:t>
            </w:r>
          </w:p>
        </w:tc>
        <w:tc>
          <w:tcPr>
            <w:tcW w:type="dxa" w:w="272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RI-28, RI-37</w:t>
            </w:r>
          </w:p>
        </w:tc>
      </w:tr>
      <w:tr>
        <w:trPr>
          <w:tblHeader w:val="false"/>
        </w:trPr>
        <w:tc>
          <w:tcPr>
            <w:tcW w:type="dxa" w:w="27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Fatura</w:t>
            </w:r>
          </w:p>
        </w:tc>
        <w:tc>
          <w:tcPr>
            <w:tcW w:type="dxa" w:w="35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data</w:t>
            </w:r>
          </w:p>
        </w:tc>
        <w:tc>
          <w:tcPr>
            <w:tcW w:type="dxa" w:w="272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RI-27</w:t>
            </w:r>
          </w:p>
        </w:tc>
      </w:tr>
      <w:tr>
        <w:trPr>
          <w:tblHeader w:val="false"/>
        </w:trPr>
        <w:tc>
          <w:tcPr>
            <w:tcW w:type="dxa" w:w="27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LinhaFatura</w:t>
            </w:r>
          </w:p>
        </w:tc>
        <w:tc>
          <w:tcPr>
            <w:tcW w:type="dxa" w:w="35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preco</w:t>
            </w:r>
          </w:p>
        </w:tc>
        <w:tc>
          <w:tcPr>
            <w:tcW w:type="dxa" w:w="272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RI-16</w:t>
            </w:r>
          </w:p>
        </w:tc>
      </w:tr>
      <w:tr>
        <w:trPr>
          <w:tblHeader w:val="false"/>
        </w:trPr>
        <w:tc>
          <w:tcPr>
            <w:tcW w:type="dxa" w:w="27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Conta</w:t>
            </w:r>
          </w:p>
        </w:tc>
        <w:tc>
          <w:tcPr>
            <w:tcW w:type="dxa" w:w="35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username</w:t>
            </w:r>
          </w:p>
        </w:tc>
        <w:tc>
          <w:tcPr>
            <w:tcW w:type="dxa" w:w="272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RI-18, RI-19</w:t>
            </w:r>
          </w:p>
        </w:tc>
      </w:tr>
      <w:tr>
        <w:trPr>
          <w:tblHeader w:val="false"/>
        </w:trPr>
        <w:tc>
          <w:tcPr>
            <w:tcW w:type="dxa" w:w="27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Conta</w:t>
            </w:r>
          </w:p>
        </w:tc>
        <w:tc>
          <w:tcPr>
            <w:tcW w:type="dxa" w:w="35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email</w:t>
            </w:r>
          </w:p>
        </w:tc>
        <w:tc>
          <w:tcPr>
            <w:tcW w:type="dxa" w:w="272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RI-20</w:t>
            </w:r>
          </w:p>
        </w:tc>
      </w:tr>
      <w:tr>
        <w:trPr>
          <w:tblHeader w:val="false"/>
        </w:trPr>
        <w:tc>
          <w:tcPr>
            <w:tcW w:type="dxa" w:w="27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Conta</w:t>
            </w:r>
          </w:p>
        </w:tc>
        <w:tc>
          <w:tcPr>
            <w:tcW w:type="dxa" w:w="35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passwordHash</w:t>
            </w:r>
          </w:p>
        </w:tc>
        <w:tc>
          <w:tcPr>
            <w:tcW w:type="dxa" w:w="272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RI-21</w:t>
            </w:r>
          </w:p>
        </w:tc>
      </w:tr>
      <w:tr>
        <w:trPr>
          <w:tblHeader w:val="false"/>
        </w:trPr>
        <w:tc>
          <w:tcPr>
            <w:tcW w:type="dxa" w:w="27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Utilizador</w:t>
            </w:r>
          </w:p>
        </w:tc>
        <w:tc>
          <w:tcPr>
            <w:tcW w:type="dxa" w:w="35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nif</w:t>
            </w:r>
          </w:p>
        </w:tc>
        <w:tc>
          <w:tcPr>
            <w:tcW w:type="dxa" w:w="272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RI-22</w:t>
            </w:r>
          </w:p>
        </w:tc>
      </w:tr>
      <w:tr>
        <w:trPr>
          <w:tblHeader w:val="false"/>
        </w:trPr>
        <w:tc>
          <w:tcPr>
            <w:tcW w:type="dxa" w:w="27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Utilizador</w:t>
            </w:r>
          </w:p>
        </w:tc>
        <w:tc>
          <w:tcPr>
            <w:tcW w:type="dxa" w:w="35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genero</w:t>
            </w:r>
          </w:p>
        </w:tc>
        <w:tc>
          <w:tcPr>
            <w:tcW w:type="dxa" w:w="272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RI-23</w:t>
            </w:r>
          </w:p>
        </w:tc>
      </w:tr>
      <w:tr>
        <w:trPr>
          <w:tblHeader w:val="false"/>
        </w:trPr>
        <w:tc>
          <w:tcPr>
            <w:tcW w:type="dxa" w:w="27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Utilizador</w:t>
            </w:r>
          </w:p>
        </w:tc>
        <w:tc>
          <w:tcPr>
            <w:tcW w:type="dxa" w:w="35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dataNascimento</w:t>
            </w:r>
          </w:p>
        </w:tc>
        <w:tc>
          <w:tcPr>
            <w:tcW w:type="dxa" w:w="272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RI-24</w:t>
            </w:r>
          </w:p>
        </w:tc>
      </w:tr>
      <w:tr>
        <w:trPr>
          <w:tblHeader w:val="false"/>
        </w:trPr>
        <w:tc>
          <w:tcPr>
            <w:tcW w:type="dxa" w:w="27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Utilizador</w:t>
            </w:r>
          </w:p>
        </w:tc>
        <w:tc>
          <w:tcPr>
            <w:tcW w:type="dxa" w:w="35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favorito</w:t>
            </w:r>
          </w:p>
        </w:tc>
        <w:tc>
          <w:tcPr>
            <w:tcW w:type="dxa" w:w="272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RI-40</w:t>
            </w:r>
          </w:p>
        </w:tc>
      </w:tr>
      <w:tr>
        <w:trPr>
          <w:tblHeader w:val="false"/>
        </w:trPr>
        <w:tc>
          <w:tcPr>
            <w:tcW w:type="dxa" w:w="27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ItemColecao</w:t>
            </w:r>
          </w:p>
        </w:tc>
        <w:tc>
          <w:tcPr>
            <w:tcW w:type="dxa" w:w="35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dataRegisto</w:t>
            </w:r>
          </w:p>
        </w:tc>
        <w:tc>
          <w:tcPr>
            <w:tcW w:type="dxa" w:w="272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RI-25, RI-26</w:t>
            </w:r>
          </w:p>
        </w:tc>
      </w:tr>
      <w:tr>
        <w:trPr>
          <w:tblHeader w:val="false"/>
        </w:trPr>
        <w:tc>
          <w:tcPr>
            <w:tcW w:type="dxa" w:w="27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ItemColecao</w:t>
            </w:r>
          </w:p>
        </w:tc>
        <w:tc>
          <w:tcPr>
            <w:tcW w:type="dxa" w:w="35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associação com VersaoAlbum</w:t>
            </w:r>
          </w:p>
        </w:tc>
        <w:tc>
          <w:tcPr>
            <w:tcW w:type="dxa" w:w="272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RI-41</w:t>
            </w:r>
          </w:p>
        </w:tc>
      </w:tr>
      <w:tr>
        <w:trPr>
          <w:tblHeader w:val="false"/>
        </w:trPr>
        <w:tc>
          <w:tcPr>
            <w:tcW w:type="dxa" w:w="27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ListaPersonalizada</w:t>
            </w:r>
          </w:p>
        </w:tc>
        <w:tc>
          <w:tcPr>
            <w:tcW w:type="dxa" w:w="35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nome</w:t>
            </w:r>
          </w:p>
        </w:tc>
        <w:tc>
          <w:tcPr>
            <w:tcW w:type="dxa" w:w="272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RI-29, RI-30</w:t>
            </w:r>
          </w:p>
        </w:tc>
      </w:tr>
      <w:tr>
        <w:trPr>
          <w:tblHeader w:val="false"/>
        </w:trPr>
        <w:tc>
          <w:tcPr>
            <w:tcW w:type="dxa" w:w="27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ItemLista</w:t>
            </w:r>
          </w:p>
        </w:tc>
        <w:tc>
          <w:tcPr>
            <w:tcW w:type="dxa" w:w="35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associação com Album</w:t>
            </w:r>
          </w:p>
        </w:tc>
        <w:tc>
          <w:tcPr>
            <w:tcW w:type="dxa" w:w="272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RI-42</w:t>
            </w:r>
          </w:p>
        </w:tc>
      </w:tr>
      <w:tr>
        <w:trPr>
          <w:tblHeader w:val="false"/>
        </w:trPr>
        <w:tc>
          <w:tcPr>
            <w:tcW w:type="dxa" w:w="27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PedidoNovaVersao</w:t>
            </w:r>
          </w:p>
        </w:tc>
        <w:tc>
          <w:tcPr>
            <w:tcW w:type="dxa" w:w="35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272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RI-43</w:t>
            </w:r>
          </w:p>
        </w:tc>
      </w:tr>
      <w:tr>
        <w:trPr>
          <w:tblHeader w:val="false"/>
        </w:trPr>
        <w:tc>
          <w:tcPr>
            <w:tcW w:type="dxa" w:w="27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PedidoNovaVersao</w:t>
            </w:r>
          </w:p>
        </w:tc>
        <w:tc>
          <w:tcPr>
            <w:tcW w:type="dxa" w:w="35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estado</w:t>
            </w:r>
          </w:p>
        </w:tc>
        <w:tc>
          <w:tcPr>
            <w:tcW w:type="dxa" w:w="272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RI-44, RI-45</w:t>
            </w:r>
          </w:p>
        </w:tc>
      </w:tr>
      <w:tr>
        <w:trPr>
          <w:tblHeader w:val="false"/>
        </w:trPr>
        <w:tc>
          <w:tcPr>
            <w:tcW w:type="dxa" w:w="27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PedidoNovaVersao</w:t>
            </w:r>
          </w:p>
        </w:tc>
        <w:tc>
          <w:tcPr>
            <w:tcW w:type="dxa" w:w="35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suporte, ean13</w:t>
            </w:r>
          </w:p>
        </w:tc>
        <w:tc>
          <w:tcPr>
            <w:tcW w:type="dxa" w:w="272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RI-12, RI-13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Referências</w:t>
      </w:r>
    </w:p>
    <w:p>
      <w:pPr>
        <w:pStyle w:val="ListParagraph"/>
        <w:numPr>
          <w:ilvl w:val="0"/>
          <w:numId w:val="2"/>
        </w:numPr>
      </w:pPr>
      <w:r>
        <w:t xml:space="preserve">Fowler, M. (2005). </w:t>
      </w:r>
      <w:r>
        <w:rPr>
          <w:i/>
          <w:iCs/>
        </w:rPr>
        <w:t xml:space="preserve">UML distilled: A brief guide to the standard object modeling language</w:t>
      </w:r>
      <w:r>
        <w:t xml:space="preserve"> (3.ª edição). Addison-Wesley.</w:t>
      </w:r>
    </w:p>
    <w:p>
      <w:pPr>
        <w:pStyle w:val="ListParagraph"/>
        <w:numPr>
          <w:ilvl w:val="0"/>
          <w:numId w:val="2"/>
        </w:numPr>
      </w:pPr>
      <w:r>
        <w:t xml:space="preserve">Leaflet. Quick Start Guide. </w:t>
      </w:r>
      <w:hyperlink w:history="1" r:id="rIdvtgbaqnpgbjgaxcu7nneh">
        <w:r>
          <w:rPr>
            <w:rStyle w:val="Hyperlink"/>
          </w:rPr>
          <w:t xml:space="preserve">https://leafletjs.com/examples/quick-start</w:t>
        </w:r>
      </w:hyperlink>
    </w:p>
    <w:p>
      <w:pPr>
        <w:pStyle w:val="ListParagraph"/>
        <w:numPr>
          <w:ilvl w:val="0"/>
          <w:numId w:val="2"/>
        </w:numPr>
      </w:pPr>
      <w:r>
        <w:t xml:space="preserve">OpenStreetMap Foundation. Nominatim Usage Policy. </w:t>
      </w:r>
      <w:hyperlink w:history="1" r:id="rIdc484fbfobc2-1l_gcfevo">
        <w:r>
          <w:rPr>
            <w:rStyle w:val="Hyperlink"/>
          </w:rPr>
          <w:t xml:space="preserve">https://operations.osmfoundation.org/policies/nominatim/</w:t>
        </w:r>
      </w:hyperlink>
    </w:p>
    <w:p>
      <w:pPr>
        <w:pStyle w:val="ListParagraph"/>
        <w:numPr>
          <w:ilvl w:val="0"/>
          <w:numId w:val="2"/>
        </w:numPr>
      </w:pPr>
      <w:r>
        <w:t xml:space="preserve">Google. Google Maps Platform pricing. </w:t>
      </w:r>
      <w:hyperlink w:history="1" r:id="rId9x5vnuo5tgx8tobicbjx1">
        <w:r>
          <w:rPr>
            <w:rStyle w:val="Hyperlink"/>
          </w:rPr>
          <w:t xml:space="preserve">https://developers.google.com/maps/billing-and-pricing/pricing-categories</w:t>
        </w:r>
      </w:hyperlink>
    </w:p>
    <w:p>
      <w:pPr>
        <w:pStyle w:val="ListParagraph"/>
        <w:numPr>
          <w:ilvl w:val="0"/>
          <w:numId w:val="2"/>
        </w:numPr>
      </w:pPr>
      <w:r>
        <w:t xml:space="preserve">Mapbox pricing (análise). </w:t>
      </w:r>
      <w:hyperlink w:history="1" r:id="rId8nicvzru81-qdjs9nzhgj">
        <w:r>
          <w:rPr>
            <w:rStyle w:val="Hyperlink"/>
          </w:rPr>
          <w:t xml:space="preserve">https://storerocket.io/learn/mapbox-pricing</w:t>
        </w:r>
      </w:hyperlink>
    </w:p>
    <w:p>
      <w:pPr>
        <w:pStyle w:val="ListParagraph"/>
        <w:numPr>
          <w:ilvl w:val="0"/>
          <w:numId w:val="2"/>
        </w:numPr>
      </w:pPr>
      <w:r>
        <w:t xml:space="preserve">Stripe. Preços em Portugal. </w:t>
      </w:r>
      <w:hyperlink w:history="1" r:id="rIdkk-ndg2gklt9wgfhvgl4o">
        <w:r>
          <w:rPr>
            <w:rStyle w:val="Hyperlink"/>
          </w:rPr>
          <w:t xml:space="preserve">https://stripe.com/pt/pricing</w:t>
        </w:r>
      </w:hyperlink>
    </w:p>
    <w:p>
      <w:pPr>
        <w:pStyle w:val="ListParagraph"/>
        <w:numPr>
          <w:ilvl w:val="0"/>
          <w:numId w:val="2"/>
        </w:numPr>
      </w:pPr>
      <w:r>
        <w:t xml:space="preserve">Stripe. MB WAY. </w:t>
      </w:r>
      <w:hyperlink w:history="1" r:id="rIdyagzoruthjxfkhyw0kjsl">
        <w:r>
          <w:rPr>
            <w:rStyle w:val="Hyperlink"/>
          </w:rPr>
          <w:t xml:space="preserve">https://docs.stripe.com/payments/mb-way</w:t>
        </w:r>
      </w:hyperlink>
    </w:p>
    <w:p>
      <w:pPr>
        <w:pStyle w:val="ListParagraph"/>
        <w:numPr>
          <w:ilvl w:val="0"/>
          <w:numId w:val="2"/>
        </w:numPr>
      </w:pPr>
      <w:r>
        <w:t xml:space="preserve">PayPal. Comissões para comerciantes (Portugal). </w:t>
      </w:r>
      <w:hyperlink w:history="1" r:id="rIdcaya2x_ecyiwakp3qbfe0">
        <w:r>
          <w:rPr>
            <w:rStyle w:val="Hyperlink"/>
          </w:rPr>
          <w:t xml:space="preserve">https://www.paypal.com/pt/webapps/mpp/merchant-fees</w:t>
        </w:r>
      </w:hyperlink>
    </w:p>
    <w:p>
      <w:pPr>
        <w:pStyle w:val="ListParagraph"/>
        <w:numPr>
          <w:ilvl w:val="0"/>
          <w:numId w:val="2"/>
        </w:numPr>
      </w:pPr>
      <w:r>
        <w:t xml:space="preserve">MusicBrainz. MusicBrainz Identifier. </w:t>
      </w:r>
      <w:hyperlink w:history="1" r:id="rId5fgcdwglxaf15vnleop0k">
        <w:r>
          <w:rPr>
            <w:rStyle w:val="Hyperlink"/>
          </w:rPr>
          <w:t xml:space="preserve">https://musicbrainz.org/doc/MusicBrainz_Identifier</w:t>
        </w:r>
      </w:hyperlink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PGP 2026/27 · Grupo XX · Etapa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240"/>
      <w:outlineLvl w:val="0"/>
    </w:pPr>
    <w:rPr>
      <w:b/>
      <w:bCs/>
      <w:color w:val="1F2937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vtgbaqnpgbjgaxcu7nneh" Type="http://schemas.openxmlformats.org/officeDocument/2006/relationships/hyperlink" Target="https://leafletjs.com/examples/quick-start" TargetMode="External"/><Relationship Id="rIdc484fbfobc2-1l_gcfevo" Type="http://schemas.openxmlformats.org/officeDocument/2006/relationships/hyperlink" Target="https://operations.osmfoundation.org/policies/nominatim/" TargetMode="External"/><Relationship Id="rId9x5vnuo5tgx8tobicbjx1" Type="http://schemas.openxmlformats.org/officeDocument/2006/relationships/hyperlink" Target="https://developers.google.com/maps/billing-and-pricing/pricing-categories" TargetMode="External"/><Relationship Id="rId8nicvzru81-qdjs9nzhgj" Type="http://schemas.openxmlformats.org/officeDocument/2006/relationships/hyperlink" Target="https://storerocket.io/learn/mapbox-pricing" TargetMode="External"/><Relationship Id="rIdkk-ndg2gklt9wgfhvgl4o" Type="http://schemas.openxmlformats.org/officeDocument/2006/relationships/hyperlink" Target="https://stripe.com/pt/pricing" TargetMode="External"/><Relationship Id="rIdyagzoruthjxfkhyw0kjsl" Type="http://schemas.openxmlformats.org/officeDocument/2006/relationships/hyperlink" Target="https://docs.stripe.com/payments/mb-way" TargetMode="External"/><Relationship Id="rIdcaya2x_ecyiwakp3qbfe0" Type="http://schemas.openxmlformats.org/officeDocument/2006/relationships/hyperlink" Target="https://www.paypal.com/pt/webapps/mpp/merchant-fees" TargetMode="External"/><Relationship Id="rId5fgcdwglxaf15vnleop0k" Type="http://schemas.openxmlformats.org/officeDocument/2006/relationships/hyperlink" Target="https://musicbrainz.org/doc/MusicBrainz_Identifier" TargetMode="External"/><Relationship Id="rId8" Type="http://schemas.openxmlformats.org/officeDocument/2006/relationships/image" Target="media/885910a67e2c5e926b001e123e48a312a889d4cc.png"/><Relationship Id="rId9" Type="http://schemas.openxmlformats.org/officeDocument/2006/relationships/image" Target="media/6425da41dc671abee8fe52740feccc5ae3d890b0.png"/><Relationship Id="rId10" Type="http://schemas.openxmlformats.org/officeDocument/2006/relationships/image" Target="media/27b39c48e02b1ea864730d9ebab95bc4e385e0ba.png"/><Relationship Id="rId11" Type="http://schemas.openxmlformats.org/officeDocument/2006/relationships/image" Target="media/41d654ba0f4c9c8f6662ab96decc0a1d13dfc7c9.png"/><Relationship Id="rId12" Type="http://schemas.openxmlformats.org/officeDocument/2006/relationships/image" Target="media/7769de2abfe8aaa8750d9b0a71161497fcbfead4.png"/><Relationship Id="rId13" Type="http://schemas.openxmlformats.org/officeDocument/2006/relationships/image" Target="media/0300f3abdac58707c12ca414a913a45b0f183847.png"/><Relationship Id="rId14" Type="http://schemas.openxmlformats.org/officeDocument/2006/relationships/image" Target="media/207ab9b9a94e23fa53f90c46320531c3027931bd.png"/><Relationship Id="rId15" Type="http://schemas.openxmlformats.org/officeDocument/2006/relationships/image" Target="media/1ac060b81e3dc7590cac43589385ffcc49bd5968.png"/><Relationship Id="rId16" Type="http://schemas.openxmlformats.org/officeDocument/2006/relationships/image" Target="media/0dbc812564ebe20e9475f8855e029a4056dd018d.png"/><Relationship Id="rId17" Type="http://schemas.openxmlformats.org/officeDocument/2006/relationships/image" Target="media/c98c49886d3e80768b345a3a392ac52b8f37124b.png"/><Relationship Id="rId18" Type="http://schemas.openxmlformats.org/officeDocument/2006/relationships/image" Target="media/e1fc16d844ec39253b651dfd323e7c0be789bd11.png"/><Relationship Id="rId19" Type="http://schemas.openxmlformats.org/officeDocument/2006/relationships/image" Target="media/ae5b364bfdf8eba25604070160f6bcf249cdd15e.png"/><Relationship Id="rId20" Type="http://schemas.openxmlformats.org/officeDocument/2006/relationships/image" Target="media/9feab47df6968a046286b5ef0e48ae1f67be4fd1.png"/><Relationship Id="rId21" Type="http://schemas.openxmlformats.org/officeDocument/2006/relationships/image" Target="media/cc566cb5b329357a584ad480c0bb5b03fd5b5feb.png"/><Relationship Id="rId22" Type="http://schemas.openxmlformats.org/officeDocument/2006/relationships/image" Target="media/dfc562a68ef4149be563df24415c1a821ee87a8d.png"/><Relationship Id="rId23" Type="http://schemas.openxmlformats.org/officeDocument/2006/relationships/image" Target="media/b96bec855b9be77a96e19a76cff688c869fdfb89.png"/><Relationship Id="rId24" Type="http://schemas.openxmlformats.org/officeDocument/2006/relationships/image" Target="media/7b35352958516a7471ec07bd0c436c3f57fad411.png"/><Relationship Id="rId25" Type="http://schemas.openxmlformats.org/officeDocument/2006/relationships/image" Target="media/a2c18606c94a709ca0a9a5c551d61bec8ed4bec8.png"/><Relationship Id="rId26" Type="http://schemas.openxmlformats.org/officeDocument/2006/relationships/image" Target="media/a26421b8c7fbaa90a9fa4712ab2b4d23bd9595c2.png"/><Relationship Id="rId27" Type="http://schemas.openxmlformats.org/officeDocument/2006/relationships/image" Target="media/569eb03e8ae92a32acf73504b571a430fe3b3a76.png"/><Relationship Id="rId28" Type="http://schemas.openxmlformats.org/officeDocument/2006/relationships/image" Target="media/cf425ad8ca9d608824e245161e63529befb8059f.png"/><Relationship Id="rId29" Type="http://schemas.openxmlformats.org/officeDocument/2006/relationships/image" Target="media/08ece8f18e82f4c7d1cfeacb00c4df68967f306f.png"/><Relationship Id="rId30" Type="http://schemas.openxmlformats.org/officeDocument/2006/relationships/image" Target="media/8c2ca73c58af1f179045f552557cc2a68dfca6cc.png"/><Relationship Id="rId31" Type="http://schemas.openxmlformats.org/officeDocument/2006/relationships/image" Target="media/949394a76ae05818a8a224e16a846ed60f5f94b0.png"/><Relationship Id="rId32" Type="http://schemas.openxmlformats.org/officeDocument/2006/relationships/image" Target="media/089267601bb1b7274e7e7132d8f17d6d803511cb.png"/><Relationship Id="rId4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2026-10-28T00:46:25.288Z</dcterms:created>
  <dcterms:modified xsi:type="dcterms:W3CDTF">2026-10-28T00:46:25.290Z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