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 Mar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SWTID-2026-1170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heading=h.306342xo7sk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Solution Architecture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 The solution architecture for the MicroGoals Backend API is designed to provide a secure, scalable, and well-organized system that efficiently handles user authentication and goal management..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heading=h.xlr4uxj63k2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Goals of the Solution Architecture</w:t>
      </w:r>
    </w:p>
    <w:p w:rsidR="00000000" w:rsidDel="00000000" w:rsidP="00000000" w:rsidRDefault="00000000" w:rsidRPr="00000000" w14:paraId="00000011">
      <w:pPr>
        <w:pStyle w:val="Heading3"/>
        <w:spacing w:before="280" w:line="259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Node.js is used as the server-side runtime environment to handle backend operations efficiently.</w:t>
      </w:r>
    </w:p>
    <w:p w:rsidR="00000000" w:rsidDel="00000000" w:rsidP="00000000" w:rsidRDefault="00000000" w:rsidRPr="00000000" w14:paraId="00000012">
      <w:pPr>
        <w:pStyle w:val="Heading3"/>
        <w:spacing w:before="280" w:line="259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● Express.js is used to develop RESTful APIs that manage communication between the client and the server.</w:t>
      </w:r>
    </w:p>
    <w:p w:rsidR="00000000" w:rsidDel="00000000" w:rsidP="00000000" w:rsidRDefault="00000000" w:rsidRPr="00000000" w14:paraId="00000013">
      <w:pPr>
        <w:pStyle w:val="Heading3"/>
        <w:spacing w:before="280" w:line="259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● MongoDB is chosen as the NoSQL database to store data in a flexible and scalable format.</w:t>
      </w:r>
    </w:p>
    <w:p w:rsidR="00000000" w:rsidDel="00000000" w:rsidP="00000000" w:rsidRDefault="00000000" w:rsidRPr="00000000" w14:paraId="00000014">
      <w:pPr>
        <w:pStyle w:val="Heading3"/>
        <w:spacing w:before="280" w:line="259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● JSON Web Token (JWT) is implemented to provide secure user authentication and authorization</w:t>
      </w:r>
    </w:p>
    <w:p w:rsidR="00000000" w:rsidDel="00000000" w:rsidP="00000000" w:rsidRDefault="00000000" w:rsidRPr="00000000" w14:paraId="00000015">
      <w:pPr>
        <w:pStyle w:val="Heading3"/>
        <w:spacing w:before="280" w:line="259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● Mongoose is used for schema creation and for interacting with the MongoDB database easily.</w:t>
      </w:r>
    </w:p>
    <w:p w:rsidR="00000000" w:rsidDel="00000000" w:rsidP="00000000" w:rsidRDefault="00000000" w:rsidRPr="00000000" w14:paraId="00000016">
      <w:pPr>
        <w:pStyle w:val="Heading3"/>
        <w:spacing w:before="280" w:line="259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● Thunder Client is used to test and validate API endpoints during development.</w:t>
      </w:r>
    </w:p>
    <w:p w:rsidR="00000000" w:rsidDel="00000000" w:rsidP="00000000" w:rsidRDefault="00000000" w:rsidRPr="00000000" w14:paraId="00000017">
      <w:pPr>
        <w:pStyle w:val="Heading3"/>
        <w:spacing w:before="280" w:line="259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This technology stack helps create a lightweight, fast, and scalable backend system for the MicroGoals application.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before="280" w:line="259" w:lineRule="auto"/>
        <w:rPr>
          <w:rFonts w:ascii="Andika" w:cs="Andika" w:eastAsia="Andika" w:hAnsi="Andik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</w:rPr>
        <w:drawing>
          <wp:inline distB="0" distT="0" distL="0" distR="0">
            <wp:extent cx="5486400" cy="8229600"/>
            <wp:effectExtent b="0" l="0" r="0" t="0"/>
            <wp:docPr id="7824216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3"/>
        <w:spacing w:before="280" w:line="259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before="280" w:line="259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before="280" w:line="259" w:lineRule="auto"/>
        <w:rPr>
          <w:rFonts w:ascii="Andika" w:cs="Andika" w:eastAsia="Andika" w:hAnsi="Andik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spacing w:after="240" w:before="24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B32D55"/>
    <w:rPr>
      <w:rFonts w:ascii="Times New Roman" w:cs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4E3E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E3ED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R9UZzMIgCksGEHclgsGC3bBqGA==">CgMxLjAyDmguMzA2MzQyeG83c2tkMg5oLnhscjR1eGo2M2sydDgAciExUjZBUHVTM3RoT0dnQWFmNW56bk5WaWhadnBoLUlTY0o=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2026-03-06T13:37:00Z</dcterms:created>
</cp:coreProperties>
</file>