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CFDB3" w14:textId="77777777" w:rsidR="00A62615" w:rsidRDefault="00A62615">
      <w:pPr>
        <w:spacing w:before="1400"/>
      </w:pPr>
    </w:p>
    <w:p w14:paraId="062D9DAA" w14:textId="77777777" w:rsidR="00A62615" w:rsidRDefault="00000000">
      <w:pPr>
        <w:jc w:val="center"/>
      </w:pPr>
      <w:r>
        <w:rPr>
          <w:b/>
          <w:bCs/>
          <w:color w:val="1B2A4A"/>
          <w:sz w:val="52"/>
          <w:szCs w:val="52"/>
        </w:rPr>
        <w:t>PIZZA SALES ANALYSIS</w:t>
      </w:r>
    </w:p>
    <w:p w14:paraId="1F0629DF" w14:textId="77777777" w:rsidR="00A62615" w:rsidRDefault="00000000">
      <w:pPr>
        <w:pBdr>
          <w:bottom w:val="single" w:sz="18" w:space="8" w:color="C9A227"/>
        </w:pBdr>
        <w:spacing w:before="200" w:after="100"/>
        <w:jc w:val="center"/>
      </w:pPr>
      <w:r>
        <w:rPr>
          <w:b/>
          <w:bCs/>
          <w:color w:val="8A6D00"/>
          <w:sz w:val="26"/>
          <w:szCs w:val="26"/>
        </w:rPr>
        <w:t>Findings, Insights, Recommendations &amp; Data Methodology</w:t>
      </w:r>
    </w:p>
    <w:p w14:paraId="4A8122CF" w14:textId="77777777" w:rsidR="00A62615" w:rsidRDefault="00000000">
      <w:pPr>
        <w:spacing w:before="500"/>
        <w:jc w:val="center"/>
      </w:pPr>
      <w:r>
        <w:rPr>
          <w:color w:val="5A5A5A"/>
        </w:rPr>
        <w:t>Menu &amp; Operations Performance Study | Plato's Pizza, Hazelwood</w:t>
      </w:r>
    </w:p>
    <w:p w14:paraId="57212E06" w14:textId="77777777" w:rsidR="00A62615" w:rsidRDefault="00000000">
      <w:pPr>
        <w:spacing w:before="100"/>
        <w:jc w:val="center"/>
      </w:pPr>
      <w:r>
        <w:rPr>
          <w:color w:val="5A5A5A"/>
        </w:rPr>
        <w:t>Analysis Period: Full year of transactional order data | Source: Maven Analytics</w:t>
      </w:r>
    </w:p>
    <w:p w14:paraId="2EEF7951" w14:textId="77777777" w:rsidR="00A62615" w:rsidRDefault="00000000">
      <w:pPr>
        <w:spacing w:before="700"/>
        <w:jc w:val="center"/>
      </w:pPr>
      <w:r>
        <w:rPr>
          <w:b/>
          <w:bCs/>
          <w:color w:val="1B2A4A"/>
          <w:sz w:val="24"/>
          <w:szCs w:val="24"/>
        </w:rPr>
        <w:t>Prepared by Portia</w:t>
      </w:r>
    </w:p>
    <w:p w14:paraId="340DE9CD" w14:textId="77777777" w:rsidR="00A62615" w:rsidRDefault="00000000">
      <w:pPr>
        <w:spacing w:before="60"/>
        <w:jc w:val="center"/>
      </w:pPr>
      <w:r>
        <w:rPr>
          <w:color w:val="5A5A5A"/>
        </w:rPr>
        <w:t>Power BI &amp; MySQL Data Analytics Portfolio Project</w:t>
      </w:r>
    </w:p>
    <w:p w14:paraId="14CF1AFE" w14:textId="77777777" w:rsidR="00A62615" w:rsidRDefault="00000000">
      <w:r>
        <w:br w:type="page"/>
      </w:r>
    </w:p>
    <w:p w14:paraId="684B3A9E" w14:textId="77777777" w:rsidR="00A62615" w:rsidRDefault="00000000">
      <w:pPr>
        <w:pStyle w:val="Heading1"/>
        <w:pBdr>
          <w:bottom w:val="single" w:sz="12" w:space="4" w:color="C9A227"/>
        </w:pBdr>
      </w:pPr>
      <w:r>
        <w:lastRenderedPageBreak/>
        <w:t>Executive Summary</w:t>
      </w:r>
    </w:p>
    <w:p w14:paraId="2914B004" w14:textId="77777777" w:rsidR="00A62615" w:rsidRDefault="00000000">
      <w:pPr>
        <w:spacing w:after="160" w:line="276" w:lineRule="auto"/>
      </w:pPr>
      <w:r>
        <w:t>This report analyses a year of transactional sales data for Plato's Pizza, a fictitious Greek-inspired pizza restaurant, acting in the role of BI consultant. Power BI was used to clean, model, and visualise the data into a single-page dashboard, and the same cleaned data was independently re-examined in MySQL with an 11-query exploratory analysis. A key methodological principle runs through both: single-metric segmentation — volume alone, or revenue alone — produces misleading conclusions, so demand (quantity sold) and value (revenue generated) are considered together throughout.</w:t>
      </w:r>
    </w:p>
    <w:p w14:paraId="19B16385" w14:textId="77777777" w:rsidR="00A62615" w:rsidRDefault="00A62615">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8"/>
        <w:gridCol w:w="2327"/>
        <w:gridCol w:w="2324"/>
        <w:gridCol w:w="2331"/>
      </w:tblGrid>
      <w:tr w:rsidR="00A62615" w14:paraId="67BCBDB9" w14:textId="77777777">
        <w:tblPrEx>
          <w:tblCellMar>
            <w:top w:w="0" w:type="dxa"/>
            <w:bottom w:w="0" w:type="dxa"/>
          </w:tblCellMar>
        </w:tblPrEx>
        <w:tc>
          <w:tcPr>
            <w:tcW w:w="2520" w:type="dxa"/>
            <w:shd w:val="clear" w:color="auto" w:fill="1B2A4A"/>
            <w:tcMar>
              <w:top w:w="160" w:type="dxa"/>
              <w:left w:w="120" w:type="dxa"/>
              <w:bottom w:w="160" w:type="dxa"/>
              <w:right w:w="120" w:type="dxa"/>
            </w:tcMar>
            <w:vAlign w:val="center"/>
          </w:tcPr>
          <w:p w14:paraId="4543A588" w14:textId="77777777" w:rsidR="00A62615" w:rsidRDefault="00000000">
            <w:pPr>
              <w:spacing w:after="40"/>
              <w:jc w:val="center"/>
            </w:pPr>
            <w:r>
              <w:rPr>
                <w:b/>
                <w:bCs/>
                <w:color w:val="C9A227"/>
                <w:sz w:val="30"/>
                <w:szCs w:val="30"/>
              </w:rPr>
              <w:t>R817,860</w:t>
            </w:r>
          </w:p>
          <w:p w14:paraId="4F321F6F" w14:textId="77777777" w:rsidR="00A62615" w:rsidRDefault="00000000">
            <w:pPr>
              <w:jc w:val="center"/>
            </w:pPr>
            <w:r>
              <w:rPr>
                <w:color w:val="FFFFFF"/>
                <w:sz w:val="16"/>
                <w:szCs w:val="16"/>
              </w:rPr>
              <w:t>Total revenue generated — primary KPI</w:t>
            </w:r>
          </w:p>
        </w:tc>
        <w:tc>
          <w:tcPr>
            <w:tcW w:w="2520" w:type="dxa"/>
            <w:shd w:val="clear" w:color="auto" w:fill="1B2A4A"/>
            <w:tcMar>
              <w:top w:w="160" w:type="dxa"/>
              <w:left w:w="120" w:type="dxa"/>
              <w:bottom w:w="160" w:type="dxa"/>
              <w:right w:w="120" w:type="dxa"/>
            </w:tcMar>
            <w:vAlign w:val="center"/>
          </w:tcPr>
          <w:p w14:paraId="50ECB4AC" w14:textId="77777777" w:rsidR="00A62615" w:rsidRDefault="00000000">
            <w:pPr>
              <w:spacing w:after="40"/>
              <w:jc w:val="center"/>
            </w:pPr>
            <w:r>
              <w:rPr>
                <w:b/>
                <w:bCs/>
                <w:color w:val="C9A227"/>
                <w:sz w:val="30"/>
                <w:szCs w:val="30"/>
              </w:rPr>
              <w:t>R38.31</w:t>
            </w:r>
          </w:p>
          <w:p w14:paraId="23DC120A" w14:textId="77777777" w:rsidR="00A62615" w:rsidRDefault="00000000">
            <w:pPr>
              <w:jc w:val="center"/>
            </w:pPr>
            <w:r>
              <w:rPr>
                <w:color w:val="FFFFFF"/>
                <w:sz w:val="16"/>
                <w:szCs w:val="16"/>
              </w:rPr>
              <w:t>Average order value</w:t>
            </w:r>
          </w:p>
        </w:tc>
        <w:tc>
          <w:tcPr>
            <w:tcW w:w="2520" w:type="dxa"/>
            <w:shd w:val="clear" w:color="auto" w:fill="1B2A4A"/>
            <w:tcMar>
              <w:top w:w="160" w:type="dxa"/>
              <w:left w:w="120" w:type="dxa"/>
              <w:bottom w:w="160" w:type="dxa"/>
              <w:right w:w="120" w:type="dxa"/>
            </w:tcMar>
            <w:vAlign w:val="center"/>
          </w:tcPr>
          <w:p w14:paraId="4CACBE28" w14:textId="77777777" w:rsidR="00A62615" w:rsidRDefault="00000000">
            <w:pPr>
              <w:spacing w:after="40"/>
              <w:jc w:val="center"/>
            </w:pPr>
            <w:r>
              <w:rPr>
                <w:b/>
                <w:bCs/>
                <w:color w:val="C9A227"/>
                <w:sz w:val="30"/>
                <w:szCs w:val="30"/>
              </w:rPr>
              <w:t>50,000</w:t>
            </w:r>
          </w:p>
          <w:p w14:paraId="1A07EB09" w14:textId="77777777" w:rsidR="00A62615" w:rsidRDefault="00000000">
            <w:pPr>
              <w:jc w:val="center"/>
            </w:pPr>
            <w:r>
              <w:rPr>
                <w:color w:val="FFFFFF"/>
                <w:sz w:val="16"/>
                <w:szCs w:val="16"/>
              </w:rPr>
              <w:t>Total pizzas sold across 32 types</w:t>
            </w:r>
          </w:p>
        </w:tc>
        <w:tc>
          <w:tcPr>
            <w:tcW w:w="2520" w:type="dxa"/>
            <w:shd w:val="clear" w:color="auto" w:fill="1B2A4A"/>
            <w:tcMar>
              <w:top w:w="160" w:type="dxa"/>
              <w:left w:w="120" w:type="dxa"/>
              <w:bottom w:w="160" w:type="dxa"/>
              <w:right w:w="120" w:type="dxa"/>
            </w:tcMar>
            <w:vAlign w:val="center"/>
          </w:tcPr>
          <w:p w14:paraId="3CD07E54" w14:textId="77777777" w:rsidR="00A62615" w:rsidRDefault="00000000">
            <w:pPr>
              <w:spacing w:after="40"/>
              <w:jc w:val="center"/>
            </w:pPr>
            <w:r>
              <w:rPr>
                <w:b/>
                <w:bCs/>
                <w:color w:val="C9A227"/>
                <w:sz w:val="30"/>
                <w:szCs w:val="30"/>
              </w:rPr>
              <w:t>65</w:t>
            </w:r>
          </w:p>
          <w:p w14:paraId="258B2FFD" w14:textId="77777777" w:rsidR="00A62615" w:rsidRDefault="00000000">
            <w:pPr>
              <w:jc w:val="center"/>
            </w:pPr>
            <w:r>
              <w:rPr>
                <w:color w:val="FFFFFF"/>
                <w:sz w:val="16"/>
                <w:szCs w:val="16"/>
              </w:rPr>
              <w:t>Product/size combinations flagged as weak SKUs</w:t>
            </w:r>
          </w:p>
        </w:tc>
      </w:tr>
    </w:tbl>
    <w:p w14:paraId="4EC7409E" w14:textId="77777777" w:rsidR="00A62615" w:rsidRDefault="00A62615">
      <w:pPr>
        <w:spacing w:after="200"/>
      </w:pPr>
    </w:p>
    <w:p w14:paraId="4D06C224" w14:textId="77777777" w:rsidR="00A62615" w:rsidRDefault="00000000">
      <w:pPr>
        <w:spacing w:after="160" w:line="276" w:lineRule="auto"/>
      </w:pPr>
      <w:r>
        <w:t>The core finding is that performance is concentrated, not evenly spread: a small set of bestselling pizzas, a two-hour lunch and dinner window, and three strong trading days drive a disproportionate share of revenue, while 65 product-size combinations sit well below viable volume and revenue thresholds and are dragging on menu complexity without contributing meaningfully to the top line.</w:t>
      </w:r>
    </w:p>
    <w:p w14:paraId="1752C9A1" w14:textId="77777777" w:rsidR="00A62615" w:rsidRDefault="00000000">
      <w:pPr>
        <w:pStyle w:val="Heading1"/>
        <w:pageBreakBefore/>
        <w:pBdr>
          <w:bottom w:val="single" w:sz="12" w:space="4" w:color="C9A227"/>
        </w:pBdr>
      </w:pPr>
      <w:r>
        <w:lastRenderedPageBreak/>
        <w:t>1. Data Overview &amp; Methodology</w:t>
      </w:r>
    </w:p>
    <w:p w14:paraId="5E0DE434" w14:textId="77777777" w:rsidR="00A62615" w:rsidRDefault="00000000">
      <w:pPr>
        <w:spacing w:after="160" w:line="276" w:lineRule="auto"/>
      </w:pPr>
      <w:r>
        <w:t xml:space="preserve">Four datasets provided by Maven Analytics were merged using Order_Id, Pizza_Id, and Pizza_Type_Id as common keys: Orders (date/time each order was placed), Order Details (which pizzas and quantities were included in each order), Pizzas (size and price for each distinct pizza), and Pizza Types (name, menu category, and ingredients for each pizza type). The merged dataset was consolidated into a </w:t>
      </w:r>
      <w:proofErr w:type="spellStart"/>
      <w:r>
        <w:t>PizzaSalesClean</w:t>
      </w:r>
      <w:proofErr w:type="spellEnd"/>
      <w:r>
        <w:t xml:space="preserve"> table in Power BI, then the same joined structure was recreated as four linked tables — </w:t>
      </w:r>
      <w:proofErr w:type="spellStart"/>
      <w:r>
        <w:t>order_details</w:t>
      </w:r>
      <w:proofErr w:type="spellEnd"/>
      <w:r>
        <w:t xml:space="preserve">, orders, pizzas, and </w:t>
      </w:r>
      <w:proofErr w:type="spellStart"/>
      <w:r>
        <w:t>pizza_types</w:t>
      </w:r>
      <w:proofErr w:type="spellEnd"/>
      <w:r>
        <w:t xml:space="preserve"> — in a MySQL server for a second, query-driven pass at the data.</w:t>
      </w:r>
    </w:p>
    <w:p w14:paraId="55F87A01" w14:textId="77777777" w:rsidR="00A62615" w:rsidRDefault="00000000">
      <w:pPr>
        <w:pStyle w:val="Heading2"/>
      </w:pPr>
      <w:r>
        <w:t>1.1 Data Cleaning (Power BI / Power Query)</w:t>
      </w:r>
    </w:p>
    <w:p w14:paraId="386D4D68" w14:textId="77777777" w:rsidR="00A62615" w:rsidRDefault="00000000">
      <w:pPr>
        <w:pStyle w:val="ListParagraph"/>
        <w:numPr>
          <w:ilvl w:val="0"/>
          <w:numId w:val="1"/>
        </w:numPr>
        <w:spacing w:after="100"/>
      </w:pPr>
      <w:r>
        <w:t>No missing values or duplicate rows were found in the source export.</w:t>
      </w:r>
    </w:p>
    <w:p w14:paraId="543F6ED7" w14:textId="77777777" w:rsidR="00A62615" w:rsidRDefault="00000000">
      <w:pPr>
        <w:pStyle w:val="ListParagraph"/>
        <w:numPr>
          <w:ilvl w:val="0"/>
          <w:numId w:val="1"/>
        </w:numPr>
        <w:spacing w:after="100"/>
      </w:pPr>
      <w:r>
        <w:t>The PROPER function was applied to text fields for consistent capitalisation.</w:t>
      </w:r>
    </w:p>
    <w:p w14:paraId="208C02B4" w14:textId="77777777" w:rsidR="00A62615" w:rsidRDefault="00000000">
      <w:pPr>
        <w:pStyle w:val="ListParagraph"/>
        <w:numPr>
          <w:ilvl w:val="0"/>
          <w:numId w:val="1"/>
        </w:numPr>
        <w:spacing w:after="100"/>
      </w:pPr>
      <w:r>
        <w:t>Numeric fields (order_id, quantity, price) were converted to Number format; dates and times to Date/Time format; monetary fields to Currency.</w:t>
      </w:r>
    </w:p>
    <w:p w14:paraId="365069A4" w14:textId="77777777" w:rsidR="00A62615" w:rsidRDefault="00000000">
      <w:pPr>
        <w:pStyle w:val="ListParagraph"/>
        <w:numPr>
          <w:ilvl w:val="0"/>
          <w:numId w:val="1"/>
        </w:numPr>
        <w:spacing w:after="100"/>
      </w:pPr>
      <w:r>
        <w:t>Calculated measures were added: Total Revenue (SUMX of price × quantity), Total Quantity (SUM of quantity), Day (WEEKDAY of order date), Hour (HOUR of order time), and Average Order Value (Total Revenue ÷ distinct order count).</w:t>
      </w:r>
    </w:p>
    <w:p w14:paraId="45F17F89" w14:textId="77777777" w:rsidR="00A62615" w:rsidRDefault="00000000">
      <w:pPr>
        <w:pStyle w:val="Heading2"/>
      </w:pPr>
      <w:r>
        <w:t>1.2 Segmentation Methodology (MySQL)</w:t>
      </w:r>
    </w:p>
    <w:p w14:paraId="5CB68522" w14:textId="77777777" w:rsidR="00A62615" w:rsidRDefault="00000000">
      <w:pPr>
        <w:spacing w:after="160" w:line="276" w:lineRule="auto"/>
      </w:pPr>
      <w:r>
        <w:t xml:space="preserve">The MySQL pass was designed specifically to avoid single-metric bias: it joins </w:t>
      </w:r>
      <w:proofErr w:type="spellStart"/>
      <w:r>
        <w:t>order_details</w:t>
      </w:r>
      <w:proofErr w:type="spellEnd"/>
      <w:r>
        <w:t xml:space="preserve">, orders, </w:t>
      </w:r>
      <w:proofErr w:type="spellStart"/>
      <w:r>
        <w:t>pizza_types</w:t>
      </w:r>
      <w:proofErr w:type="spellEnd"/>
      <w:r>
        <w:t xml:space="preserve">, and pizzas, and uses aggregations (SUM, COUNT, AVG), CASE WHEN logic for day-of-week labelling, a CTE for per-order value calculation, and a HAVING clause to isolate weak performers. The weak-SKU threshold — fewer than 800 units sold AND less than R10,000 in revenue — was set by the analyst; adjusting </w:t>
      </w:r>
      <w:proofErr w:type="gramStart"/>
      <w:r>
        <w:t>either cutoff changes</w:t>
      </w:r>
      <w:proofErr w:type="gramEnd"/>
      <w:r>
        <w:t xml:space="preserve"> which products are flagged.</w:t>
      </w:r>
    </w:p>
    <w:p w14:paraId="611E4570" w14:textId="77777777" w:rsidR="00A62615" w:rsidRDefault="00A62615">
      <w:pPr>
        <w:spacing w:after="80"/>
      </w:pPr>
    </w:p>
    <w:tbl>
      <w:tblPr>
        <w:tblW w:w="5000" w:type="pct"/>
        <w:tblBorders>
          <w:top w:val="single" w:sz="4" w:space="0" w:color="1B2A4A"/>
          <w:left w:val="single" w:sz="2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A62615" w14:paraId="748B1DEB" w14:textId="77777777">
        <w:tblPrEx>
          <w:tblCellMar>
            <w:top w:w="0" w:type="dxa"/>
            <w:bottom w:w="0" w:type="dxa"/>
          </w:tblCellMar>
        </w:tblPrEx>
        <w:tc>
          <w:tcPr>
            <w:tcW w:w="0" w:type="auto"/>
            <w:shd w:val="clear" w:color="auto" w:fill="F5EFD8"/>
            <w:tcMar>
              <w:top w:w="160" w:type="dxa"/>
              <w:left w:w="220" w:type="dxa"/>
              <w:bottom w:w="160" w:type="dxa"/>
              <w:right w:w="220" w:type="dxa"/>
            </w:tcMar>
          </w:tcPr>
          <w:p w14:paraId="615ABC97" w14:textId="77777777" w:rsidR="00A62615" w:rsidRDefault="00000000">
            <w:pPr>
              <w:spacing w:after="80"/>
            </w:pPr>
            <w:r>
              <w:rPr>
                <w:b/>
                <w:bCs/>
                <w:color w:val="1B2A4A"/>
              </w:rPr>
              <w:t>Why running both matters</w:t>
            </w:r>
          </w:p>
          <w:p w14:paraId="7101E410" w14:textId="77777777" w:rsidR="00A62615" w:rsidRDefault="00000000">
            <w:pPr>
              <w:pStyle w:val="ListParagraph"/>
              <w:numPr>
                <w:ilvl w:val="0"/>
                <w:numId w:val="1"/>
              </w:numPr>
              <w:spacing w:after="40"/>
            </w:pPr>
            <w:r>
              <w:t>The Power BI dashboard gives a visual, exploratory read of seasonality, category mix, and timing.</w:t>
            </w:r>
          </w:p>
          <w:p w14:paraId="709739A3" w14:textId="77777777" w:rsidR="00A62615" w:rsidRDefault="00000000">
            <w:pPr>
              <w:pStyle w:val="ListParagraph"/>
              <w:numPr>
                <w:ilvl w:val="0"/>
                <w:numId w:val="1"/>
              </w:numPr>
              <w:spacing w:after="40"/>
            </w:pPr>
            <w:r>
              <w:t>The MySQL queries independently confirm the same headline numbers (revenue, AOV, busiest days, rush hours) and add a formal, threshold-based weak-SKU flagging step that a dashboard alone doesn't surface.</w:t>
            </w:r>
          </w:p>
        </w:tc>
      </w:tr>
    </w:tbl>
    <w:p w14:paraId="1807BC61" w14:textId="77777777" w:rsidR="00A62615" w:rsidRDefault="00000000">
      <w:pPr>
        <w:pStyle w:val="Heading1"/>
        <w:pageBreakBefore/>
        <w:pBdr>
          <w:bottom w:val="single" w:sz="12" w:space="4" w:color="C9A227"/>
        </w:pBdr>
      </w:pPr>
      <w:r>
        <w:lastRenderedPageBreak/>
        <w:t>2. Key Findings</w:t>
      </w:r>
    </w:p>
    <w:p w14:paraId="7BD2A063" w14:textId="77777777" w:rsidR="00A62615" w:rsidRDefault="00000000">
      <w:pPr>
        <w:pStyle w:val="Heading2"/>
      </w:pPr>
      <w:r>
        <w:t>2.1 July is a clear seasonal peak</w:t>
      </w:r>
    </w:p>
    <w:p w14:paraId="5A5FFD49" w14:textId="77777777" w:rsidR="00A62615" w:rsidRDefault="00000000">
      <w:pPr>
        <w:spacing w:after="160" w:line="276" w:lineRule="auto"/>
      </w:pPr>
      <w:r>
        <w:t>July was the strongest month, recording 4,301 orders — a clear seasonal spike, plausibly driven by winter comfort-food demand or a promotional campaign. Understanding what drove the July spike is central to replicating that performance in other months.</w:t>
      </w:r>
    </w:p>
    <w:p w14:paraId="2F84B528" w14:textId="77777777" w:rsidR="00A62615" w:rsidRDefault="00000000">
      <w:pPr>
        <w:pStyle w:val="Heading2"/>
      </w:pPr>
      <w:r>
        <w:t>2.2 A small set of pizzas drives the bulk of demand</w:t>
      </w:r>
    </w:p>
    <w:p w14:paraId="11269EFE" w14:textId="77777777" w:rsidR="00A62615" w:rsidRDefault="00000000">
      <w:pPr>
        <w:pStyle w:val="ListParagraph"/>
        <w:numPr>
          <w:ilvl w:val="0"/>
          <w:numId w:val="1"/>
        </w:numPr>
        <w:spacing w:after="100"/>
      </w:pPr>
      <w:r>
        <w:t>1. The Classic Deluxe Pizza — dominant bestseller</w:t>
      </w:r>
    </w:p>
    <w:p w14:paraId="11AE397D" w14:textId="77777777" w:rsidR="00A62615" w:rsidRDefault="00000000">
      <w:pPr>
        <w:pStyle w:val="ListParagraph"/>
        <w:numPr>
          <w:ilvl w:val="0"/>
          <w:numId w:val="1"/>
        </w:numPr>
        <w:spacing w:after="100"/>
      </w:pPr>
      <w:r>
        <w:t>2. The Pepperoni Pizza</w:t>
      </w:r>
    </w:p>
    <w:p w14:paraId="63E02143" w14:textId="77777777" w:rsidR="00A62615" w:rsidRDefault="00000000">
      <w:pPr>
        <w:pStyle w:val="ListParagraph"/>
        <w:numPr>
          <w:ilvl w:val="0"/>
          <w:numId w:val="1"/>
        </w:numPr>
        <w:spacing w:after="100"/>
      </w:pPr>
      <w:r>
        <w:t>3. The Thai Chicken Pizza</w:t>
      </w:r>
    </w:p>
    <w:p w14:paraId="2868F1AA" w14:textId="77777777" w:rsidR="00A62615" w:rsidRDefault="00000000">
      <w:pPr>
        <w:pStyle w:val="ListParagraph"/>
        <w:numPr>
          <w:ilvl w:val="0"/>
          <w:numId w:val="1"/>
        </w:numPr>
        <w:spacing w:after="100"/>
      </w:pPr>
      <w:r>
        <w:t>4. The Hawaiian Pizza</w:t>
      </w:r>
    </w:p>
    <w:p w14:paraId="5D0BD6EE" w14:textId="77777777" w:rsidR="00A62615" w:rsidRDefault="00000000">
      <w:pPr>
        <w:pStyle w:val="ListParagraph"/>
        <w:numPr>
          <w:ilvl w:val="0"/>
          <w:numId w:val="1"/>
        </w:numPr>
        <w:spacing w:after="100"/>
      </w:pPr>
      <w:r>
        <w:t>5. The Barbecue Chicken Pizza</w:t>
      </w:r>
    </w:p>
    <w:p w14:paraId="2A414FF0" w14:textId="77777777" w:rsidR="00A62615" w:rsidRDefault="00000000">
      <w:pPr>
        <w:spacing w:after="160" w:line="276" w:lineRule="auto"/>
      </w:pPr>
      <w:r>
        <w:t>Classic and Pepperoni dominate, indicating customers favour familiar, traditional options, while Thai Chicken's strong showing suggests a real appetite for bolder flavours — a potential growth segment.</w:t>
      </w:r>
    </w:p>
    <w:p w14:paraId="26A47E1C" w14:textId="77777777" w:rsidR="00A62615" w:rsidRDefault="00000000">
      <w:pPr>
        <w:pStyle w:val="Heading2"/>
      </w:pPr>
      <w:r>
        <w:t xml:space="preserve">2.3 Category revenue is </w:t>
      </w:r>
      <w:proofErr w:type="gramStart"/>
      <w:r>
        <w:t>fairly balanced</w:t>
      </w:r>
      <w:proofErr w:type="gramEnd"/>
      <w:r>
        <w:t>, but Classic's lead may be a SKU-count effect</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3124"/>
        <w:gridCol w:w="3108"/>
        <w:gridCol w:w="3118"/>
      </w:tblGrid>
      <w:tr w:rsidR="00A62615" w14:paraId="7E807342" w14:textId="77777777">
        <w:tblPrEx>
          <w:tblCellMar>
            <w:top w:w="0" w:type="dxa"/>
            <w:bottom w:w="0" w:type="dxa"/>
          </w:tblCellMar>
        </w:tblPrEx>
        <w:trPr>
          <w:tblHeader/>
        </w:trPr>
        <w:tc>
          <w:tcPr>
            <w:tcW w:w="3350" w:type="dxa"/>
            <w:shd w:val="clear" w:color="auto" w:fill="1B2A4A"/>
            <w:tcMar>
              <w:top w:w="100" w:type="dxa"/>
              <w:left w:w="120" w:type="dxa"/>
              <w:bottom w:w="100" w:type="dxa"/>
              <w:right w:w="120" w:type="dxa"/>
            </w:tcMar>
            <w:vAlign w:val="center"/>
          </w:tcPr>
          <w:p w14:paraId="0F86BC6F" w14:textId="77777777" w:rsidR="00A62615" w:rsidRDefault="00000000">
            <w:r>
              <w:rPr>
                <w:b/>
                <w:bCs/>
                <w:color w:val="FFFFFF"/>
                <w:sz w:val="19"/>
                <w:szCs w:val="19"/>
              </w:rPr>
              <w:t>Category</w:t>
            </w:r>
          </w:p>
        </w:tc>
        <w:tc>
          <w:tcPr>
            <w:tcW w:w="3350" w:type="dxa"/>
            <w:shd w:val="clear" w:color="auto" w:fill="1B2A4A"/>
            <w:tcMar>
              <w:top w:w="100" w:type="dxa"/>
              <w:left w:w="120" w:type="dxa"/>
              <w:bottom w:w="100" w:type="dxa"/>
              <w:right w:w="120" w:type="dxa"/>
            </w:tcMar>
            <w:vAlign w:val="center"/>
          </w:tcPr>
          <w:p w14:paraId="3EF7B402" w14:textId="77777777" w:rsidR="00A62615" w:rsidRDefault="00000000">
            <w:r>
              <w:rPr>
                <w:b/>
                <w:bCs/>
                <w:color w:val="FFFFFF"/>
                <w:sz w:val="19"/>
                <w:szCs w:val="19"/>
              </w:rPr>
              <w:t>Orders</w:t>
            </w:r>
          </w:p>
        </w:tc>
        <w:tc>
          <w:tcPr>
            <w:tcW w:w="3370" w:type="dxa"/>
            <w:shd w:val="clear" w:color="auto" w:fill="1B2A4A"/>
            <w:tcMar>
              <w:top w:w="100" w:type="dxa"/>
              <w:left w:w="120" w:type="dxa"/>
              <w:bottom w:w="100" w:type="dxa"/>
              <w:right w:w="120" w:type="dxa"/>
            </w:tcMar>
            <w:vAlign w:val="center"/>
          </w:tcPr>
          <w:p w14:paraId="3FC187B8" w14:textId="77777777" w:rsidR="00A62615" w:rsidRDefault="00000000">
            <w:r>
              <w:rPr>
                <w:b/>
                <w:bCs/>
                <w:color w:val="FFFFFF"/>
                <w:sz w:val="19"/>
                <w:szCs w:val="19"/>
              </w:rPr>
              <w:t>Share</w:t>
            </w:r>
          </w:p>
        </w:tc>
      </w:tr>
      <w:tr w:rsidR="00A62615" w14:paraId="33F234B1" w14:textId="77777777">
        <w:tblPrEx>
          <w:tblCellMar>
            <w:top w:w="0" w:type="dxa"/>
            <w:bottom w:w="0" w:type="dxa"/>
          </w:tblCellMar>
        </w:tblPrEx>
        <w:tc>
          <w:tcPr>
            <w:tcW w:w="3350" w:type="dxa"/>
            <w:tcMar>
              <w:top w:w="100" w:type="dxa"/>
              <w:left w:w="120" w:type="dxa"/>
              <w:bottom w:w="100" w:type="dxa"/>
              <w:right w:w="120" w:type="dxa"/>
            </w:tcMar>
            <w:vAlign w:val="center"/>
          </w:tcPr>
          <w:p w14:paraId="20D2ADE1" w14:textId="77777777" w:rsidR="00A62615" w:rsidRDefault="00000000">
            <w:r>
              <w:rPr>
                <w:sz w:val="19"/>
                <w:szCs w:val="19"/>
              </w:rPr>
              <w:t>Classic</w:t>
            </w:r>
          </w:p>
        </w:tc>
        <w:tc>
          <w:tcPr>
            <w:tcW w:w="3350" w:type="dxa"/>
            <w:tcMar>
              <w:top w:w="100" w:type="dxa"/>
              <w:left w:w="120" w:type="dxa"/>
              <w:bottom w:w="100" w:type="dxa"/>
              <w:right w:w="120" w:type="dxa"/>
            </w:tcMar>
            <w:vAlign w:val="center"/>
          </w:tcPr>
          <w:p w14:paraId="4D6550CD" w14:textId="77777777" w:rsidR="00A62615" w:rsidRDefault="00000000">
            <w:r>
              <w:rPr>
                <w:sz w:val="19"/>
                <w:szCs w:val="19"/>
              </w:rPr>
              <w:t>14,580</w:t>
            </w:r>
          </w:p>
        </w:tc>
        <w:tc>
          <w:tcPr>
            <w:tcW w:w="3370" w:type="dxa"/>
            <w:tcMar>
              <w:top w:w="100" w:type="dxa"/>
              <w:left w:w="120" w:type="dxa"/>
              <w:bottom w:w="100" w:type="dxa"/>
              <w:right w:w="120" w:type="dxa"/>
            </w:tcMar>
            <w:vAlign w:val="center"/>
          </w:tcPr>
          <w:p w14:paraId="42D9ADED" w14:textId="77777777" w:rsidR="00A62615" w:rsidRDefault="00000000">
            <w:r>
              <w:rPr>
                <w:sz w:val="19"/>
                <w:szCs w:val="19"/>
              </w:rPr>
              <w:t>~30%</w:t>
            </w:r>
          </w:p>
        </w:tc>
      </w:tr>
      <w:tr w:rsidR="00A62615" w14:paraId="0C575B71" w14:textId="77777777">
        <w:tblPrEx>
          <w:tblCellMar>
            <w:top w:w="0" w:type="dxa"/>
            <w:bottom w:w="0" w:type="dxa"/>
          </w:tblCellMar>
        </w:tblPrEx>
        <w:tc>
          <w:tcPr>
            <w:tcW w:w="3350" w:type="dxa"/>
            <w:tcMar>
              <w:top w:w="100" w:type="dxa"/>
              <w:left w:w="120" w:type="dxa"/>
              <w:bottom w:w="100" w:type="dxa"/>
              <w:right w:w="120" w:type="dxa"/>
            </w:tcMar>
            <w:vAlign w:val="center"/>
          </w:tcPr>
          <w:p w14:paraId="6DDC2ABD" w14:textId="77777777" w:rsidR="00A62615" w:rsidRDefault="00000000">
            <w:r>
              <w:rPr>
                <w:sz w:val="19"/>
                <w:szCs w:val="19"/>
              </w:rPr>
              <w:t>Chicken</w:t>
            </w:r>
          </w:p>
        </w:tc>
        <w:tc>
          <w:tcPr>
            <w:tcW w:w="3350" w:type="dxa"/>
            <w:tcMar>
              <w:top w:w="100" w:type="dxa"/>
              <w:left w:w="120" w:type="dxa"/>
              <w:bottom w:w="100" w:type="dxa"/>
              <w:right w:w="120" w:type="dxa"/>
            </w:tcMar>
            <w:vAlign w:val="center"/>
          </w:tcPr>
          <w:p w14:paraId="32607698" w14:textId="77777777" w:rsidR="00A62615" w:rsidRDefault="00000000">
            <w:r>
              <w:rPr>
                <w:sz w:val="19"/>
                <w:szCs w:val="19"/>
              </w:rPr>
              <w:t>11,780</w:t>
            </w:r>
          </w:p>
        </w:tc>
        <w:tc>
          <w:tcPr>
            <w:tcW w:w="3370" w:type="dxa"/>
            <w:tcMar>
              <w:top w:w="100" w:type="dxa"/>
              <w:left w:w="120" w:type="dxa"/>
              <w:bottom w:w="100" w:type="dxa"/>
              <w:right w:w="120" w:type="dxa"/>
            </w:tcMar>
            <w:vAlign w:val="center"/>
          </w:tcPr>
          <w:p w14:paraId="39B26848" w14:textId="77777777" w:rsidR="00A62615" w:rsidRDefault="00000000">
            <w:r>
              <w:rPr>
                <w:sz w:val="19"/>
                <w:szCs w:val="19"/>
              </w:rPr>
              <w:t>~24%</w:t>
            </w:r>
          </w:p>
        </w:tc>
      </w:tr>
      <w:tr w:rsidR="00A62615" w14:paraId="0EAD2669" w14:textId="77777777">
        <w:tblPrEx>
          <w:tblCellMar>
            <w:top w:w="0" w:type="dxa"/>
            <w:bottom w:w="0" w:type="dxa"/>
          </w:tblCellMar>
        </w:tblPrEx>
        <w:tc>
          <w:tcPr>
            <w:tcW w:w="3350" w:type="dxa"/>
            <w:tcMar>
              <w:top w:w="100" w:type="dxa"/>
              <w:left w:w="120" w:type="dxa"/>
              <w:bottom w:w="100" w:type="dxa"/>
              <w:right w:w="120" w:type="dxa"/>
            </w:tcMar>
            <w:vAlign w:val="center"/>
          </w:tcPr>
          <w:p w14:paraId="0E5BA3E5" w14:textId="77777777" w:rsidR="00A62615" w:rsidRDefault="00000000">
            <w:r>
              <w:rPr>
                <w:sz w:val="19"/>
                <w:szCs w:val="19"/>
              </w:rPr>
              <w:t>Supreme</w:t>
            </w:r>
          </w:p>
        </w:tc>
        <w:tc>
          <w:tcPr>
            <w:tcW w:w="3350" w:type="dxa"/>
            <w:tcMar>
              <w:top w:w="100" w:type="dxa"/>
              <w:left w:w="120" w:type="dxa"/>
              <w:bottom w:w="100" w:type="dxa"/>
              <w:right w:w="120" w:type="dxa"/>
            </w:tcMar>
            <w:vAlign w:val="center"/>
          </w:tcPr>
          <w:p w14:paraId="6CAB3140" w14:textId="77777777" w:rsidR="00A62615" w:rsidRDefault="00000000">
            <w:r>
              <w:rPr>
                <w:sz w:val="19"/>
                <w:szCs w:val="19"/>
              </w:rPr>
              <w:t>11,450</w:t>
            </w:r>
          </w:p>
        </w:tc>
        <w:tc>
          <w:tcPr>
            <w:tcW w:w="3370" w:type="dxa"/>
            <w:tcMar>
              <w:top w:w="100" w:type="dxa"/>
              <w:left w:w="120" w:type="dxa"/>
              <w:bottom w:w="100" w:type="dxa"/>
              <w:right w:w="120" w:type="dxa"/>
            </w:tcMar>
            <w:vAlign w:val="center"/>
          </w:tcPr>
          <w:p w14:paraId="7E8D52C4" w14:textId="77777777" w:rsidR="00A62615" w:rsidRDefault="00000000">
            <w:r>
              <w:rPr>
                <w:sz w:val="19"/>
                <w:szCs w:val="19"/>
              </w:rPr>
              <w:t>~24%</w:t>
            </w:r>
          </w:p>
        </w:tc>
      </w:tr>
      <w:tr w:rsidR="00A62615" w14:paraId="62869E0C" w14:textId="77777777">
        <w:tblPrEx>
          <w:tblCellMar>
            <w:top w:w="0" w:type="dxa"/>
            <w:bottom w:w="0" w:type="dxa"/>
          </w:tblCellMar>
        </w:tblPrEx>
        <w:tc>
          <w:tcPr>
            <w:tcW w:w="3350" w:type="dxa"/>
            <w:tcMar>
              <w:top w:w="100" w:type="dxa"/>
              <w:left w:w="120" w:type="dxa"/>
              <w:bottom w:w="100" w:type="dxa"/>
              <w:right w:w="120" w:type="dxa"/>
            </w:tcMar>
            <w:vAlign w:val="center"/>
          </w:tcPr>
          <w:p w14:paraId="23A751B4" w14:textId="77777777" w:rsidR="00A62615" w:rsidRDefault="00000000">
            <w:r>
              <w:rPr>
                <w:sz w:val="19"/>
                <w:szCs w:val="19"/>
              </w:rPr>
              <w:t>Veggie</w:t>
            </w:r>
          </w:p>
        </w:tc>
        <w:tc>
          <w:tcPr>
            <w:tcW w:w="3350" w:type="dxa"/>
            <w:tcMar>
              <w:top w:w="100" w:type="dxa"/>
              <w:left w:w="120" w:type="dxa"/>
              <w:bottom w:w="100" w:type="dxa"/>
              <w:right w:w="120" w:type="dxa"/>
            </w:tcMar>
            <w:vAlign w:val="center"/>
          </w:tcPr>
          <w:p w14:paraId="64F62BC6" w14:textId="77777777" w:rsidR="00A62615" w:rsidRDefault="00000000">
            <w:r>
              <w:rPr>
                <w:sz w:val="19"/>
                <w:szCs w:val="19"/>
              </w:rPr>
              <w:t>10,820</w:t>
            </w:r>
          </w:p>
        </w:tc>
        <w:tc>
          <w:tcPr>
            <w:tcW w:w="3370" w:type="dxa"/>
            <w:tcMar>
              <w:top w:w="100" w:type="dxa"/>
              <w:left w:w="120" w:type="dxa"/>
              <w:bottom w:w="100" w:type="dxa"/>
              <w:right w:w="120" w:type="dxa"/>
            </w:tcMar>
            <w:vAlign w:val="center"/>
          </w:tcPr>
          <w:p w14:paraId="52FA2C69" w14:textId="77777777" w:rsidR="00A62615" w:rsidRDefault="00000000">
            <w:r>
              <w:rPr>
                <w:sz w:val="19"/>
                <w:szCs w:val="19"/>
              </w:rPr>
              <w:t>~22%</w:t>
            </w:r>
          </w:p>
        </w:tc>
      </w:tr>
    </w:tbl>
    <w:p w14:paraId="616A0D65" w14:textId="77777777" w:rsidR="00A62615" w:rsidRDefault="00A62615">
      <w:pPr>
        <w:spacing w:after="120"/>
      </w:pPr>
    </w:p>
    <w:p w14:paraId="3C90D021" w14:textId="77777777" w:rsidR="00A62615" w:rsidRDefault="00000000">
      <w:pPr>
        <w:spacing w:after="160" w:line="276" w:lineRule="auto"/>
      </w:pPr>
      <w:r>
        <w:t>Both the Power BI dashboard and the MySQL query confirm Classic leads by revenue. However, this may be misleading — Classic likely has more individual SKUs on the menu than Chicken or Veggie, which would inflate its aggregate figure independent of per-item popularity.</w:t>
      </w:r>
    </w:p>
    <w:p w14:paraId="1A8D662C" w14:textId="77777777" w:rsidR="00A62615" w:rsidRDefault="00000000">
      <w:pPr>
        <w:pStyle w:val="Heading2"/>
      </w:pPr>
      <w:r>
        <w:t>2.4 The top sellers within each category are identifiable and concentrated</w:t>
      </w:r>
    </w:p>
    <w:p w14:paraId="3D9553D7" w14:textId="77777777" w:rsidR="00A62615" w:rsidRDefault="00000000">
      <w:pPr>
        <w:spacing w:after="160" w:line="276" w:lineRule="auto"/>
      </w:pPr>
      <w:r>
        <w:t xml:space="preserve">The MySQL queries isolated the top 5 pizzas by revenue within each of the four categories (Classic, Supreme, Chicken, Veggie). In every category, a small number of individual pizzas account for </w:t>
      </w:r>
      <w:proofErr w:type="gramStart"/>
      <w:r>
        <w:t>the majority of</w:t>
      </w:r>
      <w:proofErr w:type="gramEnd"/>
      <w:r>
        <w:t xml:space="preserve"> that category's revenue, mirroring the overall </w:t>
      </w:r>
      <w:proofErr w:type="gramStart"/>
      <w:r>
        <w:t>top-5</w:t>
      </w:r>
      <w:proofErr w:type="gramEnd"/>
      <w:r>
        <w:t xml:space="preserve"> pattern in Section 2.2.</w:t>
      </w:r>
    </w:p>
    <w:p w14:paraId="24BE3F3E" w14:textId="77777777" w:rsidR="00A62615" w:rsidRDefault="00000000">
      <w:pPr>
        <w:pStyle w:val="Heading2"/>
      </w:pPr>
      <w:r>
        <w:t>2.5 Demand is price-sensitive</w:t>
      </w:r>
    </w:p>
    <w:p w14:paraId="318CE2B9" w14:textId="77777777" w:rsidR="00A62615" w:rsidRDefault="00000000">
      <w:pPr>
        <w:pStyle w:val="ListParagraph"/>
        <w:numPr>
          <w:ilvl w:val="0"/>
          <w:numId w:val="1"/>
        </w:numPr>
        <w:spacing w:after="100"/>
      </w:pPr>
      <w:r>
        <w:t>Most orders cluster in the R10–R20 price range, with the highest volumes at the lower end.</w:t>
      </w:r>
    </w:p>
    <w:p w14:paraId="04E2ABB4" w14:textId="77777777" w:rsidR="00A62615" w:rsidRDefault="00000000">
      <w:pPr>
        <w:pStyle w:val="ListParagraph"/>
        <w:numPr>
          <w:ilvl w:val="0"/>
          <w:numId w:val="1"/>
        </w:numPr>
        <w:spacing w:after="100"/>
      </w:pPr>
      <w:r>
        <w:t>A handful of premium items (R30–R40) generate fewer orders but potentially higher per-order revenue.</w:t>
      </w:r>
    </w:p>
    <w:p w14:paraId="06E1B95D" w14:textId="77777777" w:rsidR="00A62615" w:rsidRDefault="00000000">
      <w:pPr>
        <w:pStyle w:val="ListParagraph"/>
        <w:numPr>
          <w:ilvl w:val="0"/>
          <w:numId w:val="1"/>
        </w:numPr>
        <w:spacing w:after="100"/>
      </w:pPr>
      <w:r>
        <w:lastRenderedPageBreak/>
        <w:t>There is a negative correlation between price and order volume — customers are price-sensitive.</w:t>
      </w:r>
    </w:p>
    <w:p w14:paraId="1C90D544" w14:textId="77777777" w:rsidR="00A62615" w:rsidRDefault="00000000">
      <w:pPr>
        <w:pStyle w:val="Heading2"/>
      </w:pPr>
      <w:r>
        <w:t>2.6 Trading is steady through the week, with Thursday–Saturday strongest</w:t>
      </w:r>
    </w:p>
    <w:p w14:paraId="7B52592E" w14:textId="77777777" w:rsidR="00A62615" w:rsidRDefault="00000000">
      <w:pPr>
        <w:spacing w:after="160" w:line="276" w:lineRule="auto"/>
      </w:pPr>
      <w:r>
        <w:t>Order volumes are broadly consistent across the week (roughly 5,000–6,500 per day), with a slight uptick towards Thursday–Saturday. The MySQL query independently confirms Friday, Thursday, and Saturday as the busiest days, with the remaining weekdays trailing meaningfully. No single day is drastically underperforming, suggesting steady, reliable baseline demand.</w:t>
      </w:r>
    </w:p>
    <w:p w14:paraId="213444DB" w14:textId="77777777" w:rsidR="00A62615" w:rsidRDefault="00000000">
      <w:pPr>
        <w:pStyle w:val="Heading2"/>
      </w:pPr>
      <w:r>
        <w:t>2.7 Two sharp daily rush windows</w:t>
      </w:r>
    </w:p>
    <w:p w14:paraId="6D4244DF" w14:textId="77777777" w:rsidR="00A62615" w:rsidRDefault="00000000">
      <w:pPr>
        <w:pStyle w:val="ListParagraph"/>
        <w:numPr>
          <w:ilvl w:val="0"/>
          <w:numId w:val="1"/>
        </w:numPr>
        <w:spacing w:after="100"/>
      </w:pPr>
      <w:r>
        <w:t>Lunchtime (~12:00–13:00): a sharp spike to ~6,000 orders — the dominant daily peak.</w:t>
      </w:r>
    </w:p>
    <w:p w14:paraId="22590B83" w14:textId="77777777" w:rsidR="00A62615" w:rsidRDefault="00000000">
      <w:pPr>
        <w:pStyle w:val="ListParagraph"/>
        <w:numPr>
          <w:ilvl w:val="0"/>
          <w:numId w:val="1"/>
        </w:numPr>
        <w:spacing w:after="100"/>
      </w:pPr>
      <w:r>
        <w:t>Early evening (~17:00–19:00): a secondary peak of ~4,500 orders.</w:t>
      </w:r>
    </w:p>
    <w:p w14:paraId="4D1B54AA" w14:textId="77777777" w:rsidR="00A62615" w:rsidRDefault="00000000">
      <w:pPr>
        <w:pStyle w:val="ListParagraph"/>
        <w:numPr>
          <w:ilvl w:val="0"/>
          <w:numId w:val="1"/>
        </w:numPr>
        <w:spacing w:after="100"/>
      </w:pPr>
      <w:r>
        <w:t>Orders drop sharply after 21:00 and are negligible before 10:00.</w:t>
      </w:r>
    </w:p>
    <w:p w14:paraId="2C8BE0D1" w14:textId="77777777" w:rsidR="00A62615" w:rsidRDefault="00000000">
      <w:pPr>
        <w:pStyle w:val="Heading2"/>
      </w:pPr>
      <w:r>
        <w:t>2.8 65 product-size combinations are underperforming on both volume and revenue</w:t>
      </w:r>
    </w:p>
    <w:p w14:paraId="0D3C6A5A" w14:textId="77777777" w:rsidR="00A62615" w:rsidRDefault="00000000">
      <w:pPr>
        <w:spacing w:after="160" w:line="276" w:lineRule="auto"/>
      </w:pPr>
      <w:r>
        <w:t>Filtering for products selling fewer than 800 units AND generating less than R10,000 in revenue flags 65 distinct product-size combinations — confirmed by a dedicated count query. These represent dead weight on the menu: candidates for improvement, repositioning, or removal rather than continued unmanaged listing.</w:t>
      </w:r>
    </w:p>
    <w:p w14:paraId="61C8A98D" w14:textId="77777777" w:rsidR="00A62615" w:rsidRDefault="00000000">
      <w:pPr>
        <w:pStyle w:val="Heading2"/>
      </w:pPr>
      <w:r>
        <w:t>2.9 Findings summary</w:t>
      </w:r>
    </w:p>
    <w:tbl>
      <w:tblPr>
        <w:tblW w:w="5000" w:type="pct"/>
        <w:tblBorders>
          <w:top w:val="single" w:sz="4" w:space="0" w:color="CCCCCC"/>
          <w:left w:val="single" w:sz="4" w:space="0" w:color="CCCCCC"/>
          <w:bottom w:val="single" w:sz="4" w:space="0" w:color="CCCCCC"/>
          <w:right w:val="single" w:sz="4" w:space="0" w:color="CCCCCC"/>
          <w:insideH w:val="single" w:sz="4" w:space="0" w:color="DDDDDD"/>
          <w:insideV w:val="single" w:sz="4" w:space="0" w:color="DDDDDD"/>
        </w:tblBorders>
        <w:tblCellMar>
          <w:left w:w="10" w:type="dxa"/>
          <w:right w:w="10" w:type="dxa"/>
        </w:tblCellMar>
        <w:tblLook w:val="0000" w:firstRow="0" w:lastRow="0" w:firstColumn="0" w:lastColumn="0" w:noHBand="0" w:noVBand="0"/>
      </w:tblPr>
      <w:tblGrid>
        <w:gridCol w:w="1710"/>
        <w:gridCol w:w="5935"/>
        <w:gridCol w:w="1705"/>
      </w:tblGrid>
      <w:tr w:rsidR="00A62615" w14:paraId="361CB930" w14:textId="77777777">
        <w:tblPrEx>
          <w:tblCellMar>
            <w:top w:w="0" w:type="dxa"/>
            <w:bottom w:w="0" w:type="dxa"/>
          </w:tblCellMar>
        </w:tblPrEx>
        <w:trPr>
          <w:tblHeader/>
        </w:trPr>
        <w:tc>
          <w:tcPr>
            <w:tcW w:w="1800" w:type="dxa"/>
            <w:shd w:val="clear" w:color="auto" w:fill="1B2A4A"/>
            <w:tcMar>
              <w:top w:w="100" w:type="dxa"/>
              <w:left w:w="120" w:type="dxa"/>
              <w:bottom w:w="100" w:type="dxa"/>
              <w:right w:w="120" w:type="dxa"/>
            </w:tcMar>
            <w:vAlign w:val="center"/>
          </w:tcPr>
          <w:p w14:paraId="6A1D8287" w14:textId="77777777" w:rsidR="00A62615" w:rsidRDefault="00000000">
            <w:r>
              <w:rPr>
                <w:b/>
                <w:bCs/>
                <w:color w:val="FFFFFF"/>
                <w:sz w:val="19"/>
                <w:szCs w:val="19"/>
              </w:rPr>
              <w:t>Finding</w:t>
            </w:r>
          </w:p>
        </w:tc>
        <w:tc>
          <w:tcPr>
            <w:tcW w:w="6470" w:type="dxa"/>
            <w:shd w:val="clear" w:color="auto" w:fill="1B2A4A"/>
            <w:tcMar>
              <w:top w:w="100" w:type="dxa"/>
              <w:left w:w="120" w:type="dxa"/>
              <w:bottom w:w="100" w:type="dxa"/>
              <w:right w:w="120" w:type="dxa"/>
            </w:tcMar>
            <w:vAlign w:val="center"/>
          </w:tcPr>
          <w:p w14:paraId="09255C00" w14:textId="77777777" w:rsidR="00A62615" w:rsidRDefault="00000000">
            <w:r>
              <w:rPr>
                <w:b/>
                <w:bCs/>
                <w:color w:val="FFFFFF"/>
                <w:sz w:val="19"/>
                <w:szCs w:val="19"/>
              </w:rPr>
              <w:t>Insight</w:t>
            </w:r>
          </w:p>
        </w:tc>
        <w:tc>
          <w:tcPr>
            <w:tcW w:w="1800" w:type="dxa"/>
            <w:shd w:val="clear" w:color="auto" w:fill="1B2A4A"/>
            <w:tcMar>
              <w:top w:w="100" w:type="dxa"/>
              <w:left w:w="120" w:type="dxa"/>
              <w:bottom w:w="100" w:type="dxa"/>
              <w:right w:w="120" w:type="dxa"/>
            </w:tcMar>
            <w:vAlign w:val="center"/>
          </w:tcPr>
          <w:p w14:paraId="79470F23" w14:textId="77777777" w:rsidR="00A62615" w:rsidRDefault="00000000">
            <w:r>
              <w:rPr>
                <w:b/>
                <w:bCs/>
                <w:color w:val="FFFFFF"/>
                <w:sz w:val="19"/>
                <w:szCs w:val="19"/>
              </w:rPr>
              <w:t>Priority</w:t>
            </w:r>
          </w:p>
        </w:tc>
      </w:tr>
      <w:tr w:rsidR="00A62615" w14:paraId="1728B759" w14:textId="77777777">
        <w:tblPrEx>
          <w:tblCellMar>
            <w:top w:w="0" w:type="dxa"/>
            <w:bottom w:w="0" w:type="dxa"/>
          </w:tblCellMar>
        </w:tblPrEx>
        <w:tc>
          <w:tcPr>
            <w:tcW w:w="1800" w:type="dxa"/>
            <w:tcMar>
              <w:top w:w="100" w:type="dxa"/>
              <w:left w:w="120" w:type="dxa"/>
              <w:bottom w:w="100" w:type="dxa"/>
              <w:right w:w="120" w:type="dxa"/>
            </w:tcMar>
            <w:vAlign w:val="center"/>
          </w:tcPr>
          <w:p w14:paraId="06F92981" w14:textId="77777777" w:rsidR="00A62615" w:rsidRDefault="00000000">
            <w:r>
              <w:rPr>
                <w:sz w:val="19"/>
                <w:szCs w:val="19"/>
              </w:rPr>
              <w:t>Total revenue</w:t>
            </w:r>
          </w:p>
        </w:tc>
        <w:tc>
          <w:tcPr>
            <w:tcW w:w="6470" w:type="dxa"/>
            <w:tcMar>
              <w:top w:w="100" w:type="dxa"/>
              <w:left w:w="120" w:type="dxa"/>
              <w:bottom w:w="100" w:type="dxa"/>
              <w:right w:w="120" w:type="dxa"/>
            </w:tcMar>
            <w:vAlign w:val="center"/>
          </w:tcPr>
          <w:p w14:paraId="1FB9DCC8" w14:textId="77777777" w:rsidR="00A62615" w:rsidRDefault="00000000">
            <w:r>
              <w:rPr>
                <w:sz w:val="19"/>
                <w:szCs w:val="19"/>
              </w:rPr>
              <w:t>R817,860.05 generated — the primary KPI against which product and operational decisions should be benchmarked.</w:t>
            </w:r>
          </w:p>
        </w:tc>
        <w:tc>
          <w:tcPr>
            <w:tcW w:w="1800" w:type="dxa"/>
            <w:tcMar>
              <w:top w:w="100" w:type="dxa"/>
              <w:left w:w="120" w:type="dxa"/>
              <w:bottom w:w="100" w:type="dxa"/>
              <w:right w:w="120" w:type="dxa"/>
            </w:tcMar>
            <w:vAlign w:val="center"/>
          </w:tcPr>
          <w:p w14:paraId="3857B0DC" w14:textId="77777777" w:rsidR="00A62615" w:rsidRDefault="00000000">
            <w:r>
              <w:rPr>
                <w:sz w:val="19"/>
                <w:szCs w:val="19"/>
              </w:rPr>
              <w:t>High</w:t>
            </w:r>
          </w:p>
        </w:tc>
      </w:tr>
      <w:tr w:rsidR="00A62615" w14:paraId="371B039C" w14:textId="77777777">
        <w:tblPrEx>
          <w:tblCellMar>
            <w:top w:w="0" w:type="dxa"/>
            <w:bottom w:w="0" w:type="dxa"/>
          </w:tblCellMar>
        </w:tblPrEx>
        <w:tc>
          <w:tcPr>
            <w:tcW w:w="1800" w:type="dxa"/>
            <w:tcMar>
              <w:top w:w="100" w:type="dxa"/>
              <w:left w:w="120" w:type="dxa"/>
              <w:bottom w:w="100" w:type="dxa"/>
              <w:right w:w="120" w:type="dxa"/>
            </w:tcMar>
            <w:vAlign w:val="center"/>
          </w:tcPr>
          <w:p w14:paraId="100E997E" w14:textId="77777777" w:rsidR="00A62615" w:rsidRDefault="00000000">
            <w:r>
              <w:rPr>
                <w:sz w:val="19"/>
                <w:szCs w:val="19"/>
              </w:rPr>
              <w:t>Average order value</w:t>
            </w:r>
          </w:p>
        </w:tc>
        <w:tc>
          <w:tcPr>
            <w:tcW w:w="6470" w:type="dxa"/>
            <w:tcMar>
              <w:top w:w="100" w:type="dxa"/>
              <w:left w:w="120" w:type="dxa"/>
              <w:bottom w:w="100" w:type="dxa"/>
              <w:right w:w="120" w:type="dxa"/>
            </w:tcMar>
            <w:vAlign w:val="center"/>
          </w:tcPr>
          <w:p w14:paraId="1B23272E" w14:textId="77777777" w:rsidR="00A62615" w:rsidRDefault="00000000">
            <w:r>
              <w:rPr>
                <w:sz w:val="19"/>
                <w:szCs w:val="19"/>
              </w:rPr>
              <w:t>R38.31 — the natural anchor for combo-deal and promotional pricing.</w:t>
            </w:r>
          </w:p>
        </w:tc>
        <w:tc>
          <w:tcPr>
            <w:tcW w:w="1800" w:type="dxa"/>
            <w:tcMar>
              <w:top w:w="100" w:type="dxa"/>
              <w:left w:w="120" w:type="dxa"/>
              <w:bottom w:w="100" w:type="dxa"/>
              <w:right w:w="120" w:type="dxa"/>
            </w:tcMar>
            <w:vAlign w:val="center"/>
          </w:tcPr>
          <w:p w14:paraId="2EA2D03A" w14:textId="77777777" w:rsidR="00A62615" w:rsidRDefault="00000000">
            <w:r>
              <w:rPr>
                <w:sz w:val="19"/>
                <w:szCs w:val="19"/>
              </w:rPr>
              <w:t>High</w:t>
            </w:r>
          </w:p>
        </w:tc>
      </w:tr>
      <w:tr w:rsidR="00A62615" w14:paraId="2183622A" w14:textId="77777777">
        <w:tblPrEx>
          <w:tblCellMar>
            <w:top w:w="0" w:type="dxa"/>
            <w:bottom w:w="0" w:type="dxa"/>
          </w:tblCellMar>
        </w:tblPrEx>
        <w:tc>
          <w:tcPr>
            <w:tcW w:w="1800" w:type="dxa"/>
            <w:tcMar>
              <w:top w:w="100" w:type="dxa"/>
              <w:left w:w="120" w:type="dxa"/>
              <w:bottom w:w="100" w:type="dxa"/>
              <w:right w:w="120" w:type="dxa"/>
            </w:tcMar>
            <w:vAlign w:val="center"/>
          </w:tcPr>
          <w:p w14:paraId="2266368A" w14:textId="77777777" w:rsidR="00A62615" w:rsidRDefault="00000000">
            <w:r>
              <w:rPr>
                <w:sz w:val="19"/>
                <w:szCs w:val="19"/>
              </w:rPr>
              <w:t>Busiest days</w:t>
            </w:r>
          </w:p>
        </w:tc>
        <w:tc>
          <w:tcPr>
            <w:tcW w:w="6470" w:type="dxa"/>
            <w:tcMar>
              <w:top w:w="100" w:type="dxa"/>
              <w:left w:w="120" w:type="dxa"/>
              <w:bottom w:w="100" w:type="dxa"/>
              <w:right w:w="120" w:type="dxa"/>
            </w:tcMar>
            <w:vAlign w:val="center"/>
          </w:tcPr>
          <w:p w14:paraId="46470ED2" w14:textId="77777777" w:rsidR="00A62615" w:rsidRDefault="00000000">
            <w:r>
              <w:rPr>
                <w:sz w:val="19"/>
                <w:szCs w:val="19"/>
              </w:rPr>
              <w:t>Friday, Thursday, and Saturday generate the highest order volumes.</w:t>
            </w:r>
          </w:p>
        </w:tc>
        <w:tc>
          <w:tcPr>
            <w:tcW w:w="1800" w:type="dxa"/>
            <w:tcMar>
              <w:top w:w="100" w:type="dxa"/>
              <w:left w:w="120" w:type="dxa"/>
              <w:bottom w:w="100" w:type="dxa"/>
              <w:right w:w="120" w:type="dxa"/>
            </w:tcMar>
            <w:vAlign w:val="center"/>
          </w:tcPr>
          <w:p w14:paraId="2F105B18" w14:textId="77777777" w:rsidR="00A62615" w:rsidRDefault="00000000">
            <w:r>
              <w:rPr>
                <w:sz w:val="19"/>
                <w:szCs w:val="19"/>
              </w:rPr>
              <w:t>High</w:t>
            </w:r>
          </w:p>
        </w:tc>
      </w:tr>
      <w:tr w:rsidR="00A62615" w14:paraId="6DF11DD5" w14:textId="77777777">
        <w:tblPrEx>
          <w:tblCellMar>
            <w:top w:w="0" w:type="dxa"/>
            <w:bottom w:w="0" w:type="dxa"/>
          </w:tblCellMar>
        </w:tblPrEx>
        <w:tc>
          <w:tcPr>
            <w:tcW w:w="1800" w:type="dxa"/>
            <w:tcMar>
              <w:top w:w="100" w:type="dxa"/>
              <w:left w:w="120" w:type="dxa"/>
              <w:bottom w:w="100" w:type="dxa"/>
              <w:right w:w="120" w:type="dxa"/>
            </w:tcMar>
            <w:vAlign w:val="center"/>
          </w:tcPr>
          <w:p w14:paraId="4859B2CF" w14:textId="77777777" w:rsidR="00A62615" w:rsidRDefault="00000000">
            <w:r>
              <w:rPr>
                <w:sz w:val="19"/>
                <w:szCs w:val="19"/>
              </w:rPr>
              <w:t>Rush hours</w:t>
            </w:r>
          </w:p>
        </w:tc>
        <w:tc>
          <w:tcPr>
            <w:tcW w:w="6470" w:type="dxa"/>
            <w:tcMar>
              <w:top w:w="100" w:type="dxa"/>
              <w:left w:w="120" w:type="dxa"/>
              <w:bottom w:w="100" w:type="dxa"/>
              <w:right w:w="120" w:type="dxa"/>
            </w:tcMar>
            <w:vAlign w:val="center"/>
          </w:tcPr>
          <w:p w14:paraId="342D88F7" w14:textId="77777777" w:rsidR="00A62615" w:rsidRDefault="00000000">
            <w:r>
              <w:rPr>
                <w:sz w:val="19"/>
                <w:szCs w:val="19"/>
              </w:rPr>
              <w:t>Two distinct peaks: 12:00–13:00 (lunch) and 17:00–19:00 (dinner).</w:t>
            </w:r>
          </w:p>
        </w:tc>
        <w:tc>
          <w:tcPr>
            <w:tcW w:w="1800" w:type="dxa"/>
            <w:tcMar>
              <w:top w:w="100" w:type="dxa"/>
              <w:left w:w="120" w:type="dxa"/>
              <w:bottom w:w="100" w:type="dxa"/>
              <w:right w:w="120" w:type="dxa"/>
            </w:tcMar>
            <w:vAlign w:val="center"/>
          </w:tcPr>
          <w:p w14:paraId="51EC366F" w14:textId="77777777" w:rsidR="00A62615" w:rsidRDefault="00000000">
            <w:r>
              <w:rPr>
                <w:sz w:val="19"/>
                <w:szCs w:val="19"/>
              </w:rPr>
              <w:t>High</w:t>
            </w:r>
          </w:p>
        </w:tc>
      </w:tr>
      <w:tr w:rsidR="00A62615" w14:paraId="610133F5" w14:textId="77777777">
        <w:tblPrEx>
          <w:tblCellMar>
            <w:top w:w="0" w:type="dxa"/>
            <w:bottom w:w="0" w:type="dxa"/>
          </w:tblCellMar>
        </w:tblPrEx>
        <w:tc>
          <w:tcPr>
            <w:tcW w:w="1800" w:type="dxa"/>
            <w:tcMar>
              <w:top w:w="100" w:type="dxa"/>
              <w:left w:w="120" w:type="dxa"/>
              <w:bottom w:w="100" w:type="dxa"/>
              <w:right w:w="120" w:type="dxa"/>
            </w:tcMar>
            <w:vAlign w:val="center"/>
          </w:tcPr>
          <w:p w14:paraId="56126897" w14:textId="77777777" w:rsidR="00A62615" w:rsidRDefault="00000000">
            <w:r>
              <w:rPr>
                <w:sz w:val="19"/>
                <w:szCs w:val="19"/>
              </w:rPr>
              <w:t>Category revenue</w:t>
            </w:r>
          </w:p>
        </w:tc>
        <w:tc>
          <w:tcPr>
            <w:tcW w:w="6470" w:type="dxa"/>
            <w:tcMar>
              <w:top w:w="100" w:type="dxa"/>
              <w:left w:w="120" w:type="dxa"/>
              <w:bottom w:w="100" w:type="dxa"/>
              <w:right w:w="120" w:type="dxa"/>
            </w:tcMar>
            <w:vAlign w:val="center"/>
          </w:tcPr>
          <w:p w14:paraId="1B435E92" w14:textId="77777777" w:rsidR="00A62615" w:rsidRDefault="00000000">
            <w:r>
              <w:rPr>
                <w:sz w:val="19"/>
                <w:szCs w:val="19"/>
              </w:rPr>
              <w:t xml:space="preserve">Classic </w:t>
            </w:r>
            <w:proofErr w:type="gramStart"/>
            <w:r>
              <w:rPr>
                <w:sz w:val="19"/>
                <w:szCs w:val="19"/>
              </w:rPr>
              <w:t>leads, but</w:t>
            </w:r>
            <w:proofErr w:type="gramEnd"/>
            <w:r>
              <w:rPr>
                <w:sz w:val="19"/>
                <w:szCs w:val="19"/>
              </w:rPr>
              <w:t xml:space="preserve"> likely has more SKUs than other categories — comparison may be inflated.</w:t>
            </w:r>
          </w:p>
        </w:tc>
        <w:tc>
          <w:tcPr>
            <w:tcW w:w="1800" w:type="dxa"/>
            <w:tcMar>
              <w:top w:w="100" w:type="dxa"/>
              <w:left w:w="120" w:type="dxa"/>
              <w:bottom w:w="100" w:type="dxa"/>
              <w:right w:w="120" w:type="dxa"/>
            </w:tcMar>
            <w:vAlign w:val="center"/>
          </w:tcPr>
          <w:p w14:paraId="028FC83B" w14:textId="77777777" w:rsidR="00A62615" w:rsidRDefault="00000000">
            <w:r>
              <w:rPr>
                <w:sz w:val="19"/>
                <w:szCs w:val="19"/>
              </w:rPr>
              <w:t>Medium</w:t>
            </w:r>
          </w:p>
        </w:tc>
      </w:tr>
      <w:tr w:rsidR="00A62615" w14:paraId="12A76199" w14:textId="77777777">
        <w:tblPrEx>
          <w:tblCellMar>
            <w:top w:w="0" w:type="dxa"/>
            <w:bottom w:w="0" w:type="dxa"/>
          </w:tblCellMar>
        </w:tblPrEx>
        <w:tc>
          <w:tcPr>
            <w:tcW w:w="1800" w:type="dxa"/>
            <w:tcMar>
              <w:top w:w="100" w:type="dxa"/>
              <w:left w:w="120" w:type="dxa"/>
              <w:bottom w:w="100" w:type="dxa"/>
              <w:right w:w="120" w:type="dxa"/>
            </w:tcMar>
            <w:vAlign w:val="center"/>
          </w:tcPr>
          <w:p w14:paraId="06332483" w14:textId="77777777" w:rsidR="00A62615" w:rsidRDefault="00000000">
            <w:r>
              <w:rPr>
                <w:sz w:val="19"/>
                <w:szCs w:val="19"/>
              </w:rPr>
              <w:t>Weak SKUs</w:t>
            </w:r>
          </w:p>
        </w:tc>
        <w:tc>
          <w:tcPr>
            <w:tcW w:w="6470" w:type="dxa"/>
            <w:tcMar>
              <w:top w:w="100" w:type="dxa"/>
              <w:left w:w="120" w:type="dxa"/>
              <w:bottom w:w="100" w:type="dxa"/>
              <w:right w:w="120" w:type="dxa"/>
            </w:tcMar>
            <w:vAlign w:val="center"/>
          </w:tcPr>
          <w:p w14:paraId="730C6C49" w14:textId="77777777" w:rsidR="00A62615" w:rsidRDefault="00000000">
            <w:r>
              <w:rPr>
                <w:sz w:val="19"/>
                <w:szCs w:val="19"/>
              </w:rPr>
              <w:t>65 product-size combinations fall below both the volume and revenue thresholds.</w:t>
            </w:r>
          </w:p>
        </w:tc>
        <w:tc>
          <w:tcPr>
            <w:tcW w:w="1800" w:type="dxa"/>
            <w:tcMar>
              <w:top w:w="100" w:type="dxa"/>
              <w:left w:w="120" w:type="dxa"/>
              <w:bottom w:w="100" w:type="dxa"/>
              <w:right w:w="120" w:type="dxa"/>
            </w:tcMar>
            <w:vAlign w:val="center"/>
          </w:tcPr>
          <w:p w14:paraId="3EA31D49" w14:textId="77777777" w:rsidR="00A62615" w:rsidRDefault="00000000">
            <w:r>
              <w:rPr>
                <w:sz w:val="19"/>
                <w:szCs w:val="19"/>
              </w:rPr>
              <w:t>High</w:t>
            </w:r>
          </w:p>
        </w:tc>
      </w:tr>
    </w:tbl>
    <w:p w14:paraId="3A57E986" w14:textId="77777777" w:rsidR="00A62615" w:rsidRDefault="00000000">
      <w:pPr>
        <w:pStyle w:val="Heading1"/>
        <w:pageBreakBefore/>
        <w:pBdr>
          <w:bottom w:val="single" w:sz="12" w:space="4" w:color="C9A227"/>
        </w:pBdr>
      </w:pPr>
      <w:r>
        <w:lastRenderedPageBreak/>
        <w:t>3. Insights — So What?</w:t>
      </w:r>
    </w:p>
    <w:tbl>
      <w:tblPr>
        <w:tblW w:w="5000" w:type="pct"/>
        <w:tblBorders>
          <w:top w:val="single" w:sz="4" w:space="0" w:color="1B2A4A"/>
          <w:left w:val="single" w:sz="2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A62615" w14:paraId="525938EA" w14:textId="77777777">
        <w:tblPrEx>
          <w:tblCellMar>
            <w:top w:w="0" w:type="dxa"/>
            <w:bottom w:w="0" w:type="dxa"/>
          </w:tblCellMar>
        </w:tblPrEx>
        <w:tc>
          <w:tcPr>
            <w:tcW w:w="0" w:type="auto"/>
            <w:shd w:val="clear" w:color="auto" w:fill="F5EFD8"/>
            <w:tcMar>
              <w:top w:w="160" w:type="dxa"/>
              <w:left w:w="220" w:type="dxa"/>
              <w:bottom w:w="160" w:type="dxa"/>
              <w:right w:w="220" w:type="dxa"/>
            </w:tcMar>
          </w:tcPr>
          <w:p w14:paraId="59A68355" w14:textId="77777777" w:rsidR="00A62615" w:rsidRDefault="00000000">
            <w:pPr>
              <w:spacing w:after="80"/>
            </w:pPr>
            <w:r>
              <w:rPr>
                <w:b/>
                <w:bCs/>
                <w:color w:val="1B2A4A"/>
              </w:rPr>
              <w:t>Raw category revenue overstates Classic's real popularity</w:t>
            </w:r>
          </w:p>
          <w:p w14:paraId="640942EC" w14:textId="77777777" w:rsidR="00A62615" w:rsidRDefault="00000000">
            <w:pPr>
              <w:pStyle w:val="ListParagraph"/>
              <w:numPr>
                <w:ilvl w:val="0"/>
                <w:numId w:val="1"/>
              </w:numPr>
              <w:spacing w:after="40"/>
            </w:pPr>
            <w:r>
              <w:t xml:space="preserve">Because Classic likely carries more individual SKUs than Chicken or Veggie, a revenue-per-SKU comparison would give a fairer read on which category is </w:t>
            </w:r>
            <w:proofErr w:type="gramStart"/>
            <w:r>
              <w:t>actually most</w:t>
            </w:r>
            <w:proofErr w:type="gramEnd"/>
            <w:r>
              <w:t xml:space="preserve"> in demand per item — and could justify expanding a smaller category instead.</w:t>
            </w:r>
          </w:p>
        </w:tc>
      </w:tr>
    </w:tbl>
    <w:p w14:paraId="43E95966" w14:textId="77777777" w:rsidR="00A62615" w:rsidRDefault="00A62615">
      <w:pPr>
        <w:spacing w:after="120"/>
      </w:pPr>
    </w:p>
    <w:tbl>
      <w:tblPr>
        <w:tblW w:w="5000" w:type="pct"/>
        <w:tblBorders>
          <w:top w:val="single" w:sz="4" w:space="0" w:color="1B2A4A"/>
          <w:left w:val="single" w:sz="2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A62615" w14:paraId="0B8A5EE0" w14:textId="77777777">
        <w:tblPrEx>
          <w:tblCellMar>
            <w:top w:w="0" w:type="dxa"/>
            <w:bottom w:w="0" w:type="dxa"/>
          </w:tblCellMar>
        </w:tblPrEx>
        <w:tc>
          <w:tcPr>
            <w:tcW w:w="0" w:type="auto"/>
            <w:shd w:val="clear" w:color="auto" w:fill="F5EFD8"/>
            <w:tcMar>
              <w:top w:w="160" w:type="dxa"/>
              <w:left w:w="220" w:type="dxa"/>
              <w:bottom w:w="160" w:type="dxa"/>
              <w:right w:w="220" w:type="dxa"/>
            </w:tcMar>
          </w:tcPr>
          <w:p w14:paraId="6A178993" w14:textId="77777777" w:rsidR="00A62615" w:rsidRDefault="00000000">
            <w:pPr>
              <w:spacing w:after="80"/>
            </w:pPr>
            <w:r>
              <w:rPr>
                <w:b/>
                <w:bCs/>
                <w:color w:val="1B2A4A"/>
              </w:rPr>
              <w:t>Two-and-a-bit hours of trading carry outsized operational risk</w:t>
            </w:r>
          </w:p>
          <w:p w14:paraId="2405BF58" w14:textId="77777777" w:rsidR="00A62615" w:rsidRDefault="00000000">
            <w:pPr>
              <w:pStyle w:val="ListParagraph"/>
              <w:numPr>
                <w:ilvl w:val="0"/>
                <w:numId w:val="1"/>
              </w:numPr>
              <w:spacing w:after="40"/>
            </w:pPr>
            <w:r>
              <w:t xml:space="preserve">With lunch and dinner rush windows this concentrated, any service slowdown during those specific hours — rather than average performance across the day — is what </w:t>
            </w:r>
            <w:proofErr w:type="gramStart"/>
            <w:r>
              <w:t>actually threatens</w:t>
            </w:r>
            <w:proofErr w:type="gramEnd"/>
            <w:r>
              <w:t xml:space="preserve"> revenue and customer experience.</w:t>
            </w:r>
          </w:p>
        </w:tc>
      </w:tr>
    </w:tbl>
    <w:p w14:paraId="56666AED" w14:textId="77777777" w:rsidR="00A62615" w:rsidRDefault="00A62615">
      <w:pPr>
        <w:spacing w:after="120"/>
      </w:pPr>
    </w:p>
    <w:tbl>
      <w:tblPr>
        <w:tblW w:w="5000" w:type="pct"/>
        <w:tblBorders>
          <w:top w:val="single" w:sz="4" w:space="0" w:color="1B2A4A"/>
          <w:left w:val="single" w:sz="2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A62615" w14:paraId="56A1F20F" w14:textId="77777777">
        <w:tblPrEx>
          <w:tblCellMar>
            <w:top w:w="0" w:type="dxa"/>
            <w:bottom w:w="0" w:type="dxa"/>
          </w:tblCellMar>
        </w:tblPrEx>
        <w:tc>
          <w:tcPr>
            <w:tcW w:w="0" w:type="auto"/>
            <w:shd w:val="clear" w:color="auto" w:fill="F5EFD8"/>
            <w:tcMar>
              <w:top w:w="160" w:type="dxa"/>
              <w:left w:w="220" w:type="dxa"/>
              <w:bottom w:w="160" w:type="dxa"/>
              <w:right w:w="220" w:type="dxa"/>
            </w:tcMar>
          </w:tcPr>
          <w:p w14:paraId="3220DEBD" w14:textId="77777777" w:rsidR="00A62615" w:rsidRDefault="00000000">
            <w:pPr>
              <w:spacing w:after="80"/>
            </w:pPr>
            <w:r>
              <w:rPr>
                <w:b/>
                <w:bCs/>
                <w:color w:val="1B2A4A"/>
              </w:rPr>
              <w:t>The weak-SKU list is a starting point, not a verdict</w:t>
            </w:r>
          </w:p>
          <w:p w14:paraId="320DCDEE" w14:textId="77777777" w:rsidR="00A62615" w:rsidRDefault="00000000">
            <w:pPr>
              <w:pStyle w:val="ListParagraph"/>
              <w:numPr>
                <w:ilvl w:val="0"/>
                <w:numId w:val="1"/>
              </w:numPr>
              <w:spacing w:after="40"/>
            </w:pPr>
            <w:r>
              <w:t>The 800-unit / R10,000 threshold was set by the analyst rather than derived from a break-even or margin calculation, so the 65 flagged items should be triaged (improve, reposition, or remove) rather than cut automatically.</w:t>
            </w:r>
          </w:p>
        </w:tc>
      </w:tr>
    </w:tbl>
    <w:p w14:paraId="1DD0180C" w14:textId="77777777" w:rsidR="00A62615" w:rsidRDefault="00A62615">
      <w:pPr>
        <w:spacing w:after="120"/>
      </w:pPr>
    </w:p>
    <w:tbl>
      <w:tblPr>
        <w:tblW w:w="5000" w:type="pct"/>
        <w:tblBorders>
          <w:top w:val="single" w:sz="4" w:space="0" w:color="1B2A4A"/>
          <w:left w:val="single" w:sz="2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5"/>
      </w:tblGrid>
      <w:tr w:rsidR="00A62615" w14:paraId="2D5FE437" w14:textId="77777777">
        <w:tblPrEx>
          <w:tblCellMar>
            <w:top w:w="0" w:type="dxa"/>
            <w:bottom w:w="0" w:type="dxa"/>
          </w:tblCellMar>
        </w:tblPrEx>
        <w:tc>
          <w:tcPr>
            <w:tcW w:w="0" w:type="auto"/>
            <w:shd w:val="clear" w:color="auto" w:fill="F5EFD8"/>
            <w:tcMar>
              <w:top w:w="160" w:type="dxa"/>
              <w:left w:w="220" w:type="dxa"/>
              <w:bottom w:w="160" w:type="dxa"/>
              <w:right w:w="220" w:type="dxa"/>
            </w:tcMar>
          </w:tcPr>
          <w:p w14:paraId="53373BBB" w14:textId="77777777" w:rsidR="00A62615" w:rsidRDefault="00000000">
            <w:pPr>
              <w:spacing w:after="80"/>
            </w:pPr>
            <w:r>
              <w:rPr>
                <w:b/>
                <w:bCs/>
                <w:color w:val="1B2A4A"/>
              </w:rPr>
              <w:t>July's spike is unexplained and therefore not yet repeatable</w:t>
            </w:r>
          </w:p>
          <w:p w14:paraId="08FB57B1" w14:textId="77777777" w:rsidR="00A62615" w:rsidRDefault="00000000">
            <w:pPr>
              <w:pStyle w:val="ListParagraph"/>
              <w:numPr>
                <w:ilvl w:val="0"/>
                <w:numId w:val="1"/>
              </w:numPr>
              <w:spacing w:after="40"/>
            </w:pPr>
            <w:r>
              <w:t>Until the cause of the July peak (promotion, seasonality, event) is identified, it can't reliably be reproduced in other months — this is the single highest-leverage open question in the dataset.</w:t>
            </w:r>
          </w:p>
        </w:tc>
      </w:tr>
    </w:tbl>
    <w:p w14:paraId="52C2CD53" w14:textId="77777777" w:rsidR="00A62615" w:rsidRDefault="00000000">
      <w:pPr>
        <w:pStyle w:val="Heading1"/>
        <w:pageBreakBefore/>
        <w:pBdr>
          <w:bottom w:val="single" w:sz="12" w:space="4" w:color="C9A227"/>
        </w:pBdr>
      </w:pPr>
      <w:r>
        <w:lastRenderedPageBreak/>
        <w:t>4. Recommendations</w:t>
      </w:r>
    </w:p>
    <w:p w14:paraId="164BBD99" w14:textId="77777777" w:rsidR="00A62615" w:rsidRDefault="00000000">
      <w:pPr>
        <w:pStyle w:val="ListParagraph"/>
        <w:numPr>
          <w:ilvl w:val="0"/>
          <w:numId w:val="1"/>
        </w:numPr>
        <w:spacing w:after="140"/>
      </w:pPr>
      <w:r>
        <w:rPr>
          <w:b/>
          <w:bCs/>
        </w:rPr>
        <w:t xml:space="preserve">1. Investigate and replicate the July peak — </w:t>
      </w:r>
      <w:r>
        <w:t>audit what was different that month (promotions, events, social activity) and design a recurring campaign, including winter or seasonal specials, to lift quieter months.</w:t>
      </w:r>
    </w:p>
    <w:p w14:paraId="72B56541" w14:textId="77777777" w:rsidR="00A62615" w:rsidRDefault="00000000">
      <w:pPr>
        <w:pStyle w:val="ListParagraph"/>
        <w:numPr>
          <w:ilvl w:val="0"/>
          <w:numId w:val="1"/>
        </w:numPr>
        <w:spacing w:after="140"/>
      </w:pPr>
      <w:r>
        <w:rPr>
          <w:b/>
          <w:bCs/>
        </w:rPr>
        <w:t xml:space="preserve">2. Double down on the bestsellers — </w:t>
      </w:r>
      <w:r>
        <w:t xml:space="preserve">keep Classic Deluxe and Pepperoni prominently featured across menus and online </w:t>
      </w:r>
      <w:proofErr w:type="gramStart"/>
      <w:r>
        <w:t>ordering, and</w:t>
      </w:r>
      <w:proofErr w:type="gramEnd"/>
      <w:r>
        <w:t xml:space="preserve"> bundle the top 5 pizzas into a 'Customer Favourites' promotion to lift average basket size.</w:t>
      </w:r>
    </w:p>
    <w:p w14:paraId="33FA642D" w14:textId="77777777" w:rsidR="00A62615" w:rsidRDefault="00000000">
      <w:pPr>
        <w:pStyle w:val="ListParagraph"/>
        <w:numPr>
          <w:ilvl w:val="0"/>
          <w:numId w:val="1"/>
        </w:numPr>
        <w:spacing w:after="140"/>
      </w:pPr>
      <w:r>
        <w:rPr>
          <w:b/>
          <w:bCs/>
        </w:rPr>
        <w:t xml:space="preserve">3. Normalise category comparisons — </w:t>
      </w:r>
      <w:r>
        <w:t>run a revenue-per-SKU query for each category so Classic (many options) isn't compared unfairly against Chicken or Veggie (fewer options); expand or price-premium whichever category leads on a per-item basis.</w:t>
      </w:r>
    </w:p>
    <w:p w14:paraId="27E1EC0A" w14:textId="77777777" w:rsidR="00A62615" w:rsidRDefault="00000000">
      <w:pPr>
        <w:pStyle w:val="ListParagraph"/>
        <w:numPr>
          <w:ilvl w:val="0"/>
          <w:numId w:val="1"/>
        </w:numPr>
        <w:spacing w:after="140"/>
      </w:pPr>
      <w:r>
        <w:rPr>
          <w:b/>
          <w:bCs/>
        </w:rPr>
        <w:t xml:space="preserve">4. Staff precisely to the two rush windows — </w:t>
      </w:r>
      <w:r>
        <w:t>ensure full staffing for 12:00–13:00 and 17:00–19:00 on all days, with particular focus on Thursday–</w:t>
      </w:r>
      <w:proofErr w:type="gramStart"/>
      <w:r>
        <w:t>Saturday, and</w:t>
      </w:r>
      <w:proofErr w:type="gramEnd"/>
      <w:r>
        <w:t xml:space="preserve"> consider reduced or part-time shifts on slower Monday–Wednesday mornings.</w:t>
      </w:r>
    </w:p>
    <w:p w14:paraId="2128FF5F" w14:textId="77777777" w:rsidR="00A62615" w:rsidRDefault="00000000">
      <w:pPr>
        <w:pStyle w:val="ListParagraph"/>
        <w:numPr>
          <w:ilvl w:val="0"/>
          <w:numId w:val="1"/>
        </w:numPr>
        <w:spacing w:after="140"/>
      </w:pPr>
      <w:r>
        <w:rPr>
          <w:b/>
          <w:bCs/>
        </w:rPr>
        <w:t xml:space="preserve">5. Use R38.31 as the combo-pricing anchor — </w:t>
      </w:r>
      <w:r>
        <w:t>design combo deals priced at R42–49 to nudge the average ticket upward, add an upsell prompt at checkout, and track AOV monthly as a measure of upsell adoption.</w:t>
      </w:r>
    </w:p>
    <w:p w14:paraId="3CD99AC8" w14:textId="77777777" w:rsidR="00A62615" w:rsidRDefault="00000000">
      <w:pPr>
        <w:pStyle w:val="ListParagraph"/>
        <w:numPr>
          <w:ilvl w:val="0"/>
          <w:numId w:val="1"/>
        </w:numPr>
        <w:spacing w:after="140"/>
      </w:pPr>
      <w:r>
        <w:rPr>
          <w:b/>
          <w:bCs/>
        </w:rPr>
        <w:t xml:space="preserve">6. Triage the 65 weak SKUs — </w:t>
      </w:r>
      <w:r>
        <w:t>apply a structured Improve / Reposition / Remove framework, prioritise the bottom 20 by revenue for immediate review, and give any repositioned item a 90-day performance window before a final cut decision.</w:t>
      </w:r>
    </w:p>
    <w:p w14:paraId="0313B823" w14:textId="77777777" w:rsidR="00A62615" w:rsidRDefault="00000000">
      <w:pPr>
        <w:pStyle w:val="ListParagraph"/>
        <w:numPr>
          <w:ilvl w:val="0"/>
          <w:numId w:val="1"/>
        </w:numPr>
        <w:spacing w:after="140"/>
      </w:pPr>
      <w:r>
        <w:rPr>
          <w:b/>
          <w:bCs/>
        </w:rPr>
        <w:t xml:space="preserve">7. Activate slower days and address price sensitivity — </w:t>
      </w:r>
      <w:r>
        <w:t xml:space="preserve">run day-specific promotions on Monday–Wednesday (e.g. a 'Tuesday Special') to flatten weekly </w:t>
      </w:r>
      <w:proofErr w:type="gramStart"/>
      <w:r>
        <w:t>demand, and</w:t>
      </w:r>
      <w:proofErr w:type="gramEnd"/>
      <w:r>
        <w:t xml:space="preserve"> introduce a value-range or combo strategy for the price-sensitive R10–R20 segment, alongside a loyalty programme to build repeat purchases.</w:t>
      </w:r>
    </w:p>
    <w:p w14:paraId="268BC326" w14:textId="77777777" w:rsidR="00A62615" w:rsidRDefault="00000000">
      <w:pPr>
        <w:pStyle w:val="ListParagraph"/>
        <w:numPr>
          <w:ilvl w:val="0"/>
          <w:numId w:val="1"/>
        </w:numPr>
        <w:spacing w:after="140"/>
      </w:pPr>
      <w:r>
        <w:rPr>
          <w:b/>
          <w:bCs/>
        </w:rPr>
        <w:t xml:space="preserve">8. Close the key data gaps — </w:t>
      </w:r>
      <w:r>
        <w:t>add cost/margin data by pizza type to sharpen pricing decisions, add new-vs-returning customer segmentation, and build a formal 2×2 (volume × revenue) matrix to classify every SKU into Stars, Cash Cows, Question Marks, and Dogs on a quarterly refresh.</w:t>
      </w:r>
    </w:p>
    <w:p w14:paraId="5ACA57A1" w14:textId="77777777" w:rsidR="00A62615" w:rsidRDefault="00000000">
      <w:pPr>
        <w:pStyle w:val="Heading1"/>
        <w:pageBreakBefore/>
        <w:pBdr>
          <w:bottom w:val="single" w:sz="12" w:space="4" w:color="C9A227"/>
        </w:pBdr>
      </w:pPr>
      <w:r>
        <w:lastRenderedPageBreak/>
        <w:t>5. Caveats &amp; Limitations</w:t>
      </w:r>
    </w:p>
    <w:p w14:paraId="1F90AFA1" w14:textId="77777777" w:rsidR="00A62615" w:rsidRDefault="00000000">
      <w:pPr>
        <w:pStyle w:val="ListParagraph"/>
        <w:numPr>
          <w:ilvl w:val="0"/>
          <w:numId w:val="1"/>
        </w:numPr>
        <w:spacing w:after="100"/>
      </w:pPr>
      <w:r>
        <w:t>The dataset is a fictitious pizza restaurant provided for a Maven Analytics practice challenge, not a live operational feed — treat findings as illustrative of technique rather than a current business read.</w:t>
      </w:r>
    </w:p>
    <w:p w14:paraId="0CAE7BCC" w14:textId="77777777" w:rsidR="00A62615" w:rsidRDefault="00000000">
      <w:pPr>
        <w:pStyle w:val="ListParagraph"/>
        <w:numPr>
          <w:ilvl w:val="0"/>
          <w:numId w:val="1"/>
        </w:numPr>
        <w:spacing w:after="100"/>
      </w:pPr>
      <w:r>
        <w:t>The weak-SKU threshold (&lt; 800 units AND &lt; R10,000 revenue) was set by the analyst rather than derived from cost or margin data; changing either cutoff will change which products are flagged.</w:t>
      </w:r>
    </w:p>
    <w:p w14:paraId="1CCFFF74" w14:textId="77777777" w:rsidR="00A62615" w:rsidRDefault="00000000">
      <w:pPr>
        <w:pStyle w:val="ListParagraph"/>
        <w:numPr>
          <w:ilvl w:val="0"/>
          <w:numId w:val="1"/>
        </w:numPr>
        <w:spacing w:after="100"/>
      </w:pPr>
      <w:r>
        <w:t>Category revenue comparisons (Section 2.3) are not adjusted for the number of SKUs per category, so Classic's apparent lead may partly reflect having more menu items rather than higher per-item demand.</w:t>
      </w:r>
    </w:p>
    <w:p w14:paraId="7287BD69" w14:textId="77777777" w:rsidR="00A62615" w:rsidRDefault="00000000">
      <w:pPr>
        <w:pStyle w:val="ListParagraph"/>
        <w:numPr>
          <w:ilvl w:val="0"/>
          <w:numId w:val="1"/>
        </w:numPr>
        <w:spacing w:after="100"/>
      </w:pPr>
      <w:r>
        <w:t>The dataset covers a single year with no cost, margin, or ingredient-price data, so recommendations on pricing and promotions should be validated against profitability before implementation.</w:t>
      </w:r>
    </w:p>
    <w:p w14:paraId="5C7A4ECB" w14:textId="77777777" w:rsidR="00A62615" w:rsidRDefault="00000000">
      <w:pPr>
        <w:pStyle w:val="ListParagraph"/>
        <w:numPr>
          <w:ilvl w:val="0"/>
          <w:numId w:val="1"/>
        </w:numPr>
        <w:spacing w:after="100"/>
      </w:pPr>
      <w:r>
        <w:t>No customer-level identifiers or repeat-visit data are present, so new-vs-returning behaviour and true customer lifetime value cannot be assessed from this dataset alone.</w:t>
      </w:r>
    </w:p>
    <w:p w14:paraId="5B2DA014" w14:textId="77777777" w:rsidR="00A62615" w:rsidRDefault="00000000">
      <w:pPr>
        <w:spacing w:after="160"/>
        <w:rPr>
          <w:i/>
          <w:iCs/>
          <w:color w:val="5A5A5A"/>
          <w:sz w:val="20"/>
          <w:szCs w:val="20"/>
        </w:rPr>
      </w:pPr>
      <w:r>
        <w:rPr>
          <w:i/>
          <w:iCs/>
          <w:color w:val="5A5A5A"/>
          <w:sz w:val="20"/>
          <w:szCs w:val="20"/>
        </w:rPr>
        <w:t>End of report.</w:t>
      </w:r>
    </w:p>
    <w:p w14:paraId="74A67020" w14:textId="77777777" w:rsidR="00957517" w:rsidRDefault="00957517">
      <w:pPr>
        <w:spacing w:after="160"/>
        <w:rPr>
          <w:i/>
          <w:iCs/>
          <w:color w:val="5A5A5A"/>
          <w:sz w:val="20"/>
          <w:szCs w:val="20"/>
        </w:rPr>
        <w:sectPr w:rsidR="00957517">
          <w:headerReference w:type="default" r:id="rId7"/>
          <w:footerReference w:type="default" r:id="rId8"/>
          <w:pgSz w:w="12240" w:h="15840"/>
          <w:pgMar w:top="1440" w:right="1440" w:bottom="1440" w:left="1440" w:header="708" w:footer="708" w:gutter="0"/>
          <w:cols w:space="720"/>
          <w:docGrid w:linePitch="360"/>
        </w:sectPr>
      </w:pPr>
    </w:p>
    <w:p w14:paraId="1E7B20CF" w14:textId="30286E0B" w:rsidR="00957517" w:rsidRDefault="00957517">
      <w:pPr>
        <w:spacing w:after="160"/>
        <w:rPr>
          <w:i/>
          <w:iCs/>
          <w:color w:val="5A5A5A"/>
          <w:sz w:val="20"/>
          <w:szCs w:val="20"/>
        </w:rPr>
      </w:pPr>
      <w:r w:rsidRPr="001B5464">
        <w:rPr>
          <w:noProof/>
        </w:rPr>
        <w:lastRenderedPageBreak/>
        <w:drawing>
          <wp:inline distT="0" distB="0" distL="0" distR="0" wp14:anchorId="1A125D90" wp14:editId="77D68703">
            <wp:extent cx="8229600" cy="4610128"/>
            <wp:effectExtent l="0" t="0" r="0" b="0"/>
            <wp:docPr id="13146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80624" name=""/>
                    <pic:cNvPicPr/>
                  </pic:nvPicPr>
                  <pic:blipFill>
                    <a:blip r:embed="rId9"/>
                    <a:stretch>
                      <a:fillRect/>
                    </a:stretch>
                  </pic:blipFill>
                  <pic:spPr>
                    <a:xfrm>
                      <a:off x="0" y="0"/>
                      <a:ext cx="8229600" cy="4610128"/>
                    </a:xfrm>
                    <a:prstGeom prst="rect">
                      <a:avLst/>
                    </a:prstGeom>
                  </pic:spPr>
                </pic:pic>
              </a:graphicData>
            </a:graphic>
          </wp:inline>
        </w:drawing>
      </w:r>
    </w:p>
    <w:p w14:paraId="5CD36B23" w14:textId="5F16B5B6" w:rsidR="00957517" w:rsidRDefault="00957517">
      <w:pPr>
        <w:spacing w:after="160"/>
      </w:pPr>
    </w:p>
    <w:p w14:paraId="6E0C0B34" w14:textId="3E552206" w:rsidR="00957517" w:rsidRDefault="00957517" w:rsidP="00C262B3"/>
    <w:sectPr w:rsidR="00957517" w:rsidSect="00957517">
      <w:pgSz w:w="15840" w:h="12240" w:orient="landscape"/>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0DFA8" w14:textId="77777777" w:rsidR="009D4F08" w:rsidRDefault="009D4F08">
      <w:r>
        <w:separator/>
      </w:r>
    </w:p>
  </w:endnote>
  <w:endnote w:type="continuationSeparator" w:id="0">
    <w:p w14:paraId="72B7FF0A" w14:textId="77777777" w:rsidR="009D4F08" w:rsidRDefault="009D4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BCCC" w14:textId="77777777" w:rsidR="00A62615" w:rsidRDefault="00000000">
    <w:pPr>
      <w:jc w:val="center"/>
    </w:pPr>
    <w:r>
      <w:rPr>
        <w:color w:val="5A5A5A"/>
        <w:sz w:val="16"/>
        <w:szCs w:val="16"/>
      </w:rPr>
      <w:t xml:space="preserve">Page </w:t>
    </w:r>
    <w:r>
      <w:rPr>
        <w:color w:val="5A5A5A"/>
        <w:sz w:val="16"/>
        <w:szCs w:val="16"/>
      </w:rPr>
      <w:fldChar w:fldCharType="begin"/>
    </w:r>
    <w:r>
      <w:rPr>
        <w:color w:val="5A5A5A"/>
        <w:sz w:val="16"/>
        <w:szCs w:val="16"/>
      </w:rPr>
      <w:instrText>PAGE</w:instrText>
    </w:r>
    <w:r>
      <w:rPr>
        <w:color w:val="5A5A5A"/>
        <w:sz w:val="16"/>
        <w:szCs w:val="16"/>
      </w:rPr>
      <w:fldChar w:fldCharType="separate"/>
    </w:r>
    <w:r w:rsidR="00957517">
      <w:rPr>
        <w:noProof/>
        <w:color w:val="5A5A5A"/>
        <w:sz w:val="16"/>
        <w:szCs w:val="16"/>
      </w:rPr>
      <w:t>1</w:t>
    </w:r>
    <w:r>
      <w:rPr>
        <w:color w:val="5A5A5A"/>
        <w:sz w:val="16"/>
        <w:szCs w:val="16"/>
      </w:rPr>
      <w:fldChar w:fldCharType="end"/>
    </w:r>
    <w:r>
      <w:rPr>
        <w:color w:val="5A5A5A"/>
        <w:sz w:val="16"/>
        <w:szCs w:val="16"/>
      </w:rPr>
      <w:t xml:space="preserve"> of </w:t>
    </w:r>
    <w:r>
      <w:rPr>
        <w:color w:val="5A5A5A"/>
        <w:sz w:val="16"/>
        <w:szCs w:val="16"/>
      </w:rPr>
      <w:fldChar w:fldCharType="begin"/>
    </w:r>
    <w:r>
      <w:rPr>
        <w:color w:val="5A5A5A"/>
        <w:sz w:val="16"/>
        <w:szCs w:val="16"/>
      </w:rPr>
      <w:instrText>NUMPAGES</w:instrText>
    </w:r>
    <w:r>
      <w:rPr>
        <w:color w:val="5A5A5A"/>
        <w:sz w:val="16"/>
        <w:szCs w:val="16"/>
      </w:rPr>
      <w:fldChar w:fldCharType="separate"/>
    </w:r>
    <w:r w:rsidR="00957517">
      <w:rPr>
        <w:noProof/>
        <w:color w:val="5A5A5A"/>
        <w:sz w:val="16"/>
        <w:szCs w:val="16"/>
      </w:rPr>
      <w:t>2</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0DD5A" w14:textId="77777777" w:rsidR="009D4F08" w:rsidRDefault="009D4F08">
      <w:r>
        <w:separator/>
      </w:r>
    </w:p>
  </w:footnote>
  <w:footnote w:type="continuationSeparator" w:id="0">
    <w:p w14:paraId="7179C657" w14:textId="77777777" w:rsidR="009D4F08" w:rsidRDefault="009D4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7763" w14:textId="77777777" w:rsidR="00A62615" w:rsidRDefault="00000000" w:rsidP="00C262B3">
    <w:pPr>
      <w:pBdr>
        <w:bottom w:val="single" w:sz="4" w:space="0" w:color="CCCCCC"/>
      </w:pBdr>
      <w:tabs>
        <w:tab w:val="right" w:pos="9026"/>
      </w:tabs>
      <w:jc w:val="right"/>
    </w:pPr>
    <w:r>
      <w:rPr>
        <w:color w:val="5A5A5A"/>
        <w:sz w:val="16"/>
        <w:szCs w:val="16"/>
      </w:rPr>
      <w:t xml:space="preserve">Pizza Sales </w:t>
    </w:r>
    <w:proofErr w:type="gramStart"/>
    <w:r>
      <w:rPr>
        <w:color w:val="5A5A5A"/>
        <w:sz w:val="16"/>
        <w:szCs w:val="16"/>
      </w:rPr>
      <w:t>Analysis  |</w:t>
    </w:r>
    <w:proofErr w:type="gramEnd"/>
    <w:r>
      <w:rPr>
        <w:color w:val="5A5A5A"/>
        <w:sz w:val="16"/>
        <w:szCs w:val="16"/>
      </w:rPr>
      <w:t xml:space="preserve">  Portia's Data Analytics Portfolio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8274D6"/>
    <w:multiLevelType w:val="hybridMultilevel"/>
    <w:tmpl w:val="0DA4D278"/>
    <w:lvl w:ilvl="0" w:tplc="BB22A4AC">
      <w:start w:val="1"/>
      <w:numFmt w:val="bullet"/>
      <w:lvlText w:val="●"/>
      <w:lvlJc w:val="left"/>
      <w:pPr>
        <w:ind w:left="720" w:hanging="360"/>
      </w:pPr>
    </w:lvl>
    <w:lvl w:ilvl="1" w:tplc="0A18996C">
      <w:start w:val="1"/>
      <w:numFmt w:val="bullet"/>
      <w:lvlText w:val="○"/>
      <w:lvlJc w:val="left"/>
      <w:pPr>
        <w:ind w:left="1440" w:hanging="360"/>
      </w:pPr>
    </w:lvl>
    <w:lvl w:ilvl="2" w:tplc="67382558">
      <w:start w:val="1"/>
      <w:numFmt w:val="bullet"/>
      <w:lvlText w:val="■"/>
      <w:lvlJc w:val="left"/>
      <w:pPr>
        <w:ind w:left="2160" w:hanging="360"/>
      </w:pPr>
    </w:lvl>
    <w:lvl w:ilvl="3" w:tplc="03121D1C">
      <w:start w:val="1"/>
      <w:numFmt w:val="bullet"/>
      <w:lvlText w:val="●"/>
      <w:lvlJc w:val="left"/>
      <w:pPr>
        <w:ind w:left="2880" w:hanging="360"/>
      </w:pPr>
    </w:lvl>
    <w:lvl w:ilvl="4" w:tplc="2C4A758C">
      <w:start w:val="1"/>
      <w:numFmt w:val="bullet"/>
      <w:lvlText w:val="○"/>
      <w:lvlJc w:val="left"/>
      <w:pPr>
        <w:ind w:left="3600" w:hanging="360"/>
      </w:pPr>
    </w:lvl>
    <w:lvl w:ilvl="5" w:tplc="F40E81F8">
      <w:start w:val="1"/>
      <w:numFmt w:val="bullet"/>
      <w:lvlText w:val="■"/>
      <w:lvlJc w:val="left"/>
      <w:pPr>
        <w:ind w:left="4320" w:hanging="360"/>
      </w:pPr>
    </w:lvl>
    <w:lvl w:ilvl="6" w:tplc="706E9F16">
      <w:start w:val="1"/>
      <w:numFmt w:val="bullet"/>
      <w:lvlText w:val="●"/>
      <w:lvlJc w:val="left"/>
      <w:pPr>
        <w:ind w:left="5040" w:hanging="360"/>
      </w:pPr>
    </w:lvl>
    <w:lvl w:ilvl="7" w:tplc="77F0A914">
      <w:start w:val="1"/>
      <w:numFmt w:val="bullet"/>
      <w:lvlText w:val="●"/>
      <w:lvlJc w:val="left"/>
      <w:pPr>
        <w:ind w:left="5760" w:hanging="360"/>
      </w:pPr>
    </w:lvl>
    <w:lvl w:ilvl="8" w:tplc="173E284E">
      <w:start w:val="1"/>
      <w:numFmt w:val="bullet"/>
      <w:lvlText w:val="●"/>
      <w:lvlJc w:val="left"/>
      <w:pPr>
        <w:ind w:left="6480" w:hanging="360"/>
      </w:pPr>
    </w:lvl>
  </w:abstractNum>
  <w:num w:numId="1" w16cid:durableId="1422528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615"/>
    <w:rsid w:val="000B0CC5"/>
    <w:rsid w:val="00957517"/>
    <w:rsid w:val="009D4F08"/>
    <w:rsid w:val="00A62615"/>
    <w:rsid w:val="00C262B3"/>
    <w:rsid w:val="00E774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92750"/>
  <w15:docId w15:val="{A3E6351E-33BA-47A9-BF3A-631E0E6DC7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2A4A"/>
      <w:sz w:val="32"/>
      <w:szCs w:val="32"/>
    </w:rPr>
  </w:style>
  <w:style w:type="paragraph" w:styleId="Heading2">
    <w:name w:val="heading 2"/>
    <w:uiPriority w:val="9"/>
    <w:unhideWhenUsed/>
    <w:qFormat/>
    <w:pPr>
      <w:spacing w:before="280" w:after="140"/>
      <w:outlineLvl w:val="1"/>
    </w:pPr>
    <w:rPr>
      <w:b/>
      <w:bCs/>
      <w:color w:val="1B2A4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262B3"/>
    <w:pPr>
      <w:tabs>
        <w:tab w:val="center" w:pos="4513"/>
        <w:tab w:val="right" w:pos="9026"/>
      </w:tabs>
    </w:pPr>
  </w:style>
  <w:style w:type="character" w:customStyle="1" w:styleId="HeaderChar">
    <w:name w:val="Header Char"/>
    <w:basedOn w:val="DefaultParagraphFont"/>
    <w:link w:val="Header"/>
    <w:uiPriority w:val="99"/>
    <w:rsid w:val="00C262B3"/>
  </w:style>
  <w:style w:type="paragraph" w:styleId="Footer">
    <w:name w:val="footer"/>
    <w:basedOn w:val="Normal"/>
    <w:link w:val="FooterChar"/>
    <w:uiPriority w:val="99"/>
    <w:unhideWhenUsed/>
    <w:rsid w:val="00C262B3"/>
    <w:pPr>
      <w:tabs>
        <w:tab w:val="center" w:pos="4513"/>
        <w:tab w:val="right" w:pos="9026"/>
      </w:tabs>
    </w:pPr>
  </w:style>
  <w:style w:type="character" w:customStyle="1" w:styleId="FooterChar">
    <w:name w:val="Footer Char"/>
    <w:basedOn w:val="DefaultParagraphFont"/>
    <w:link w:val="Footer"/>
    <w:uiPriority w:val="99"/>
    <w:rsid w:val="00C262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1671</Words>
  <Characters>9510</Characters>
  <Application>Microsoft Office Word</Application>
  <DocSecurity>0</DocSecurity>
  <Lines>264</Lines>
  <Paragraphs>207</Paragraphs>
  <ScaleCrop>false</ScaleCrop>
  <Company/>
  <LinksUpToDate>false</LinksUpToDate>
  <CharactersWithSpaces>10974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Portia Malatji</cp:lastModifiedBy>
  <cp:revision>2</cp:revision>
  <dcterms:created xsi:type="dcterms:W3CDTF">2026-08-24T11:20:00Z</dcterms:created>
  <dcterms:modified xsi:type="dcterms:W3CDTF">2026-08-24T11:20:00Z</dcterms:modified>
</cp:coreProperties>
</file>