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445DB" w14:textId="6DCFAFEA" w:rsidR="009C3144" w:rsidRDefault="009C3144" w:rsidP="009C3144">
      <w:pPr>
        <w:spacing w:after="0" w:line="240" w:lineRule="auto"/>
        <w:jc w:val="center"/>
        <w:rPr>
          <w:rFonts w:ascii="Nirmala UI" w:hAnsi="Nirmala UI" w:cs="Nirmala UI"/>
          <w:b/>
          <w:bCs/>
          <w:sz w:val="32"/>
          <w:szCs w:val="32"/>
          <w:cs/>
          <w:lang w:bidi="hi-IN"/>
        </w:rPr>
      </w:pPr>
      <w:bookmarkStart w:id="0" w:name="_Hlk32956140"/>
    </w:p>
    <w:p w14:paraId="69932EA5" w14:textId="77777777" w:rsidR="009C3144" w:rsidRDefault="009C3144" w:rsidP="009C3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16714" w14:textId="2B9FF611" w:rsidR="009C3144" w:rsidRPr="00104A51" w:rsidRDefault="00104A51" w:rsidP="00104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A51">
        <w:rPr>
          <w:rFonts w:ascii="Times New Roman" w:hAnsi="Times New Roman" w:cs="Times New Roman"/>
          <w:b/>
          <w:bCs/>
          <w:sz w:val="24"/>
          <w:szCs w:val="24"/>
        </w:rPr>
        <w:t>Sandwich PhD Programme</w:t>
      </w:r>
    </w:p>
    <w:p w14:paraId="196E6BCA" w14:textId="0A43E7DF" w:rsidR="009C3144" w:rsidRPr="008B48DF" w:rsidRDefault="009C3144" w:rsidP="009C3144">
      <w:pPr>
        <w:jc w:val="both"/>
        <w:rPr>
          <w:rFonts w:ascii="Times New Roman" w:hAnsi="Times New Roman" w:cs="Times New Roman"/>
          <w:color w:val="000000"/>
          <w:highlight w:val="white"/>
        </w:rPr>
      </w:pPr>
      <w:r w:rsidRPr="008B48DF">
        <w:rPr>
          <w:rFonts w:ascii="Times New Roman" w:hAnsi="Times New Roman" w:cs="Times New Roman"/>
          <w:color w:val="000000"/>
          <w:shd w:val="clear" w:color="auto" w:fill="FFFFFF"/>
        </w:rPr>
        <w:t>The Board of Governors of the Institute in its 12</w:t>
      </w:r>
      <w:r w:rsidRPr="008B48DF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Pr="008B48DF">
        <w:rPr>
          <w:rFonts w:ascii="Times New Roman" w:hAnsi="Times New Roman" w:cs="Times New Roman"/>
          <w:color w:val="000000"/>
          <w:shd w:val="clear" w:color="auto" w:fill="FFFFFF"/>
        </w:rPr>
        <w:t xml:space="preserve"> meeting held on 20</w:t>
      </w:r>
      <w:r w:rsidRPr="008B48DF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Pr="008B48DF">
        <w:rPr>
          <w:rFonts w:ascii="Times New Roman" w:hAnsi="Times New Roman" w:cs="Times New Roman"/>
          <w:color w:val="000000"/>
          <w:shd w:val="clear" w:color="auto" w:fill="FFFFFF"/>
        </w:rPr>
        <w:t xml:space="preserve"> December 2019 has approved the Sandwich PhD Programme</w:t>
      </w:r>
      <w:r w:rsidR="00EE32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E328A" w:rsidRPr="008B48DF">
        <w:rPr>
          <w:rFonts w:ascii="Times New Roman" w:hAnsi="Times New Roman" w:cs="Times New Roman"/>
          <w:color w:val="000000"/>
          <w:shd w:val="clear" w:color="auto" w:fill="FFFFFF"/>
        </w:rPr>
        <w:t>effective from April 1, 2020</w:t>
      </w:r>
      <w:r w:rsidR="00EE328A">
        <w:rPr>
          <w:rFonts w:ascii="Times New Roman" w:hAnsi="Times New Roman" w:cs="Times New Roman"/>
          <w:color w:val="000000"/>
          <w:shd w:val="clear" w:color="auto" w:fill="FFFFFF"/>
        </w:rPr>
        <w:t xml:space="preserve"> to provide</w:t>
      </w:r>
      <w:r w:rsidRPr="008B48DF">
        <w:rPr>
          <w:rFonts w:ascii="Times New Roman" w:hAnsi="Times New Roman" w:cs="Times New Roman"/>
          <w:color w:val="000000"/>
          <w:shd w:val="clear" w:color="auto" w:fill="FFFFFF"/>
        </w:rPr>
        <w:t xml:space="preserve"> an opportunity to improve research abilities, and to establish and/or increase work opportunities in an international context.</w:t>
      </w:r>
      <w:bookmarkEnd w:id="0"/>
      <w:r w:rsidRPr="008B48D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C29F455" w14:textId="77777777" w:rsidR="009C3144" w:rsidRPr="008B48DF" w:rsidRDefault="009C3144" w:rsidP="009C3144">
      <w:pPr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There are two options for carrying out Sandwich PhD: </w:t>
      </w:r>
    </w:p>
    <w:p w14:paraId="308F3373" w14:textId="77777777" w:rsidR="009C3144" w:rsidRPr="008B48DF" w:rsidRDefault="009C3144" w:rsidP="009C314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050505"/>
          <w:highlight w:val="white"/>
        </w:rPr>
      </w:pPr>
      <w:proofErr w:type="gramStart"/>
      <w:r w:rsidRPr="008B48DF">
        <w:rPr>
          <w:rFonts w:ascii="Times New Roman" w:hAnsi="Times New Roman" w:cs="Times New Roman"/>
          <w:color w:val="050505"/>
          <w:shd w:val="clear" w:color="auto" w:fill="FFFFFF"/>
        </w:rPr>
        <w:t>A  Doctoral</w:t>
      </w:r>
      <w:proofErr w:type="gramEnd"/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 stay as part of a joint supervision, in that case the student may register in both Institutes/Universities, </w:t>
      </w:r>
      <w:r w:rsidRPr="008B48DF">
        <w:rPr>
          <w:rFonts w:ascii="Times New Roman" w:hAnsi="Times New Roman" w:cs="Times New Roman"/>
          <w:b/>
          <w:color w:val="050505"/>
          <w:u w:val="single"/>
          <w:shd w:val="clear" w:color="auto" w:fill="FFFFFF"/>
        </w:rPr>
        <w:t>OR</w:t>
      </w:r>
    </w:p>
    <w:p w14:paraId="00B5A310" w14:textId="77777777" w:rsidR="009C3144" w:rsidRPr="008B48DF" w:rsidRDefault="009C3144" w:rsidP="009C314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 The candidate is required to register at IIT (ISM) with or without the joint supervision.</w:t>
      </w:r>
    </w:p>
    <w:p w14:paraId="533D5FF3" w14:textId="77777777" w:rsidR="009C3144" w:rsidRPr="008B48DF" w:rsidRDefault="009C3144" w:rsidP="009C3144">
      <w:pPr>
        <w:rPr>
          <w:rFonts w:ascii="Times New Roman" w:hAnsi="Times New Roman" w:cs="Times New Roman"/>
          <w:color w:val="050505"/>
          <w:highlight w:val="white"/>
        </w:rPr>
      </w:pPr>
    </w:p>
    <w:p w14:paraId="7496BD86" w14:textId="77777777" w:rsidR="009C3144" w:rsidRPr="008B48DF" w:rsidRDefault="009C3144" w:rsidP="009C3144">
      <w:pPr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b/>
          <w:color w:val="050505"/>
          <w:shd w:val="clear" w:color="auto" w:fill="FFFFFF"/>
        </w:rPr>
        <w:t>Eligibility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t>: A Doctoral Student after successfully defending his Research Proposal Seminar</w:t>
      </w:r>
    </w:p>
    <w:p w14:paraId="55F1B796" w14:textId="77777777" w:rsidR="009C3144" w:rsidRPr="008B48DF" w:rsidRDefault="009C3144" w:rsidP="009C3144">
      <w:pPr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Duration: Minimum for Six Months.</w:t>
      </w:r>
    </w:p>
    <w:p w14:paraId="351CE3B6" w14:textId="3222BF3C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b/>
          <w:color w:val="050505"/>
          <w:shd w:val="clear" w:color="auto" w:fill="FFFFFF"/>
        </w:rPr>
        <w:t>Support: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 A Doctoral student will utilize his fellowship of six months plus accumulated contingency. </w:t>
      </w:r>
      <w:r w:rsidR="00EE328A">
        <w:rPr>
          <w:rFonts w:ascii="Times New Roman" w:hAnsi="Times New Roman" w:cs="Times New Roman"/>
          <w:color w:val="050505"/>
          <w:shd w:val="clear" w:color="auto" w:fill="FFFFFF"/>
        </w:rPr>
        <w:t>In addition, t</w:t>
      </w:r>
      <w:r w:rsidRPr="008B48DF">
        <w:rPr>
          <w:rFonts w:ascii="Times New Roman" w:hAnsi="Times New Roman" w:cs="Times New Roman"/>
          <w:shd w:val="clear" w:color="auto" w:fill="FFFFFF"/>
        </w:rPr>
        <w:t>he Institute would provide a maximum additional support of Rs. 2.00 Lakhs</w:t>
      </w:r>
      <w:r w:rsidR="00EE328A">
        <w:rPr>
          <w:rFonts w:ascii="Times New Roman" w:hAnsi="Times New Roman" w:cs="Times New Roman"/>
          <w:shd w:val="clear" w:color="auto" w:fill="FFFFFF"/>
        </w:rPr>
        <w:t xml:space="preserve"> depending on the country of visit</w:t>
      </w:r>
      <w:r w:rsidRPr="008B48DF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8B48DF">
        <w:rPr>
          <w:rFonts w:ascii="Times New Roman" w:hAnsi="Times New Roman" w:cs="Times New Roman"/>
          <w:shd w:val="clear" w:color="auto" w:fill="FFFFFF"/>
        </w:rPr>
        <w:t xml:space="preserve">if the students </w:t>
      </w:r>
      <w:proofErr w:type="gramStart"/>
      <w:r w:rsidRPr="008B48DF">
        <w:rPr>
          <w:rFonts w:ascii="Times New Roman" w:hAnsi="Times New Roman" w:cs="Times New Roman"/>
          <w:shd w:val="clear" w:color="auto" w:fill="FFFFFF"/>
        </w:rPr>
        <w:t>does</w:t>
      </w:r>
      <w:proofErr w:type="gramEnd"/>
      <w:r w:rsidRPr="008B48DF">
        <w:rPr>
          <w:rFonts w:ascii="Times New Roman" w:hAnsi="Times New Roman" w:cs="Times New Roman"/>
          <w:shd w:val="clear" w:color="auto" w:fill="FFFFFF"/>
        </w:rPr>
        <w:t xml:space="preserve"> not get financial support from the host institute</w:t>
      </w:r>
      <w:r w:rsidR="00EE328A">
        <w:rPr>
          <w:rFonts w:ascii="Times New Roman" w:hAnsi="Times New Roman" w:cs="Times New Roman"/>
          <w:shd w:val="clear" w:color="auto" w:fill="FFFFFF"/>
        </w:rPr>
        <w:t xml:space="preserve"> else 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t>the contribution of the Institute will be reduced proportionally. The maximum number of doctoral students to be supported by the Institute is 20 (Twenty)</w:t>
      </w:r>
      <w:r w:rsidRPr="008B48DF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EE328A">
        <w:rPr>
          <w:rFonts w:ascii="Times New Roman" w:hAnsi="Times New Roman" w:cs="Times New Roman"/>
          <w:color w:val="000000" w:themeColor="text1"/>
          <w:shd w:val="clear" w:color="auto" w:fill="FFFFFF"/>
        </w:rPr>
        <w:t>per year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t>. The total amount can be used for air travel, visa processing fees, medical insurance, accommodation charges, daily expenses</w:t>
      </w:r>
      <w:r>
        <w:rPr>
          <w:rFonts w:ascii="Times New Roman" w:hAnsi="Times New Roman" w:cs="Times New Roman"/>
          <w:color w:val="050505"/>
          <w:shd w:val="clear" w:color="auto" w:fill="FFFFFF"/>
        </w:rPr>
        <w:t>.</w:t>
      </w:r>
    </w:p>
    <w:p w14:paraId="30589E60" w14:textId="77777777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The publication originating from the programme will indicate the affiliation of both the Institutes for the Doctoral Student.</w:t>
      </w:r>
    </w:p>
    <w:p w14:paraId="52C099DF" w14:textId="45206540" w:rsidR="009C3144" w:rsidRPr="008B48DF" w:rsidRDefault="00EE328A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>
        <w:rPr>
          <w:rFonts w:ascii="Times New Roman" w:hAnsi="Times New Roman" w:cs="Times New Roman"/>
          <w:color w:val="050505"/>
          <w:shd w:val="clear" w:color="auto" w:fill="FFFFFF"/>
        </w:rPr>
        <w:t xml:space="preserve">If the period exceeds </w:t>
      </w:r>
      <w:r w:rsidR="009C3144"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six months the student is expected to get financial support from the host institute. However, the institute support in any circumstances will not exceed 2.00 Lakhs </w:t>
      </w:r>
      <w:r>
        <w:rPr>
          <w:rFonts w:ascii="Times New Roman" w:hAnsi="Times New Roman" w:cs="Times New Roman"/>
          <w:color w:val="050505"/>
          <w:shd w:val="clear" w:color="auto" w:fill="FFFFFF"/>
        </w:rPr>
        <w:t xml:space="preserve">(depending upon the country) </w:t>
      </w:r>
      <w:r w:rsidR="009C3144"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plus his/her fellowship for six months and contingency grant. </w:t>
      </w:r>
    </w:p>
    <w:p w14:paraId="41DBE76A" w14:textId="77777777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The countries wise support by the Institute</w:t>
      </w:r>
    </w:p>
    <w:p w14:paraId="2C499A76" w14:textId="77777777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Rs. 2.00 Lakhs for North America, Australia, South America and New Zealand</w:t>
      </w:r>
      <w:r>
        <w:rPr>
          <w:rFonts w:ascii="Times New Roman" w:hAnsi="Times New Roman" w:cs="Times New Roman"/>
          <w:color w:val="050505"/>
          <w:shd w:val="clear" w:color="auto" w:fill="FFFFFF"/>
        </w:rPr>
        <w:t>.</w:t>
      </w:r>
    </w:p>
    <w:p w14:paraId="1EB76940" w14:textId="77777777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Rs. 1.50 Lakhs for Europe, Far-East Asia, Japan, China, Hong Kong, Taiwan, Korea, Indonesia and Africa</w:t>
      </w:r>
      <w:r>
        <w:rPr>
          <w:rFonts w:ascii="Times New Roman" w:hAnsi="Times New Roman" w:cs="Times New Roman"/>
          <w:color w:val="050505"/>
          <w:shd w:val="clear" w:color="auto" w:fill="FFFFFF"/>
        </w:rPr>
        <w:t>.</w:t>
      </w:r>
    </w:p>
    <w:p w14:paraId="7D4D818E" w14:textId="77777777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Rs. 1.00 Lakhs for Neighbouring Countries, Sri Lanka, Nepal, Bangladesh, Burma, Pakistan, Gulf Countries, Singapore Malaysia, Thailand and Maldives</w:t>
      </w:r>
      <w:r>
        <w:rPr>
          <w:rFonts w:ascii="Times New Roman" w:hAnsi="Times New Roman" w:cs="Times New Roman"/>
          <w:color w:val="050505"/>
          <w:shd w:val="clear" w:color="auto" w:fill="FFFFFF"/>
        </w:rPr>
        <w:t>.</w:t>
      </w:r>
    </w:p>
    <w:p w14:paraId="21702577" w14:textId="77777777" w:rsidR="009C3144" w:rsidRPr="008B48DF" w:rsidRDefault="009C3144" w:rsidP="009C3144">
      <w:pPr>
        <w:jc w:val="both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Support for Other countries will be decided on case-to-case basis.</w:t>
      </w:r>
    </w:p>
    <w:p w14:paraId="3764E007" w14:textId="77777777" w:rsidR="00210C64" w:rsidRDefault="00210C64" w:rsidP="009C3144">
      <w:pPr>
        <w:rPr>
          <w:rFonts w:ascii="Times New Roman" w:hAnsi="Times New Roman" w:cs="Times New Roman"/>
          <w:b/>
          <w:color w:val="050505"/>
          <w:shd w:val="clear" w:color="auto" w:fill="FFFFFF"/>
        </w:rPr>
      </w:pPr>
    </w:p>
    <w:p w14:paraId="665A09E4" w14:textId="5A3ED456" w:rsidR="009C3144" w:rsidRPr="008B48DF" w:rsidRDefault="009C3144" w:rsidP="009C3144">
      <w:pPr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b/>
          <w:color w:val="050505"/>
          <w:shd w:val="clear" w:color="auto" w:fill="FFFFFF"/>
        </w:rPr>
        <w:t>Selection Criteria:</w:t>
      </w:r>
    </w:p>
    <w:p w14:paraId="273A4A7E" w14:textId="77777777" w:rsidR="009C3144" w:rsidRPr="008B48DF" w:rsidRDefault="009C3144" w:rsidP="009C3144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Academic Performance in the Course Work, Comprehensive Examination and Research Proposal Seminar</w:t>
      </w:r>
    </w:p>
    <w:p w14:paraId="02489560" w14:textId="77777777" w:rsidR="009C3144" w:rsidRPr="008B48DF" w:rsidRDefault="009C3144" w:rsidP="009C3144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The ranking of the Institute and the research standing (viz., citations, h-index, i10-index) of the Professor where/with whom the sandwich programme would be carried out</w:t>
      </w:r>
    </w:p>
    <w:p w14:paraId="35972FEF" w14:textId="77777777" w:rsidR="009C3144" w:rsidRPr="008B48DF" w:rsidRDefault="009C3144" w:rsidP="009C3144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Research Paper, Patents, Book Chapters, if any.</w:t>
      </w:r>
    </w:p>
    <w:p w14:paraId="0416B62D" w14:textId="77777777" w:rsidR="009C3144" w:rsidRPr="008B48DF" w:rsidRDefault="009C3144" w:rsidP="009C3144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50505"/>
          <w:highlight w:val="white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>Research Proposal to be conducted during the Sandwiched Program along with deliverables, objectives and time frame.</w:t>
      </w:r>
    </w:p>
    <w:p w14:paraId="7657985D" w14:textId="04468421" w:rsidR="009C3144" w:rsidRPr="008B48DF" w:rsidRDefault="009C3144" w:rsidP="008218B0">
      <w:pPr>
        <w:jc w:val="both"/>
        <w:rPr>
          <w:rFonts w:ascii="Times New Roman" w:hAnsi="Times New Roman" w:cs="Times New Roman"/>
          <w:color w:val="050505"/>
          <w:shd w:val="clear" w:color="auto" w:fill="FFFFFF"/>
        </w:rPr>
      </w:pPr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Call for Sandwich </w:t>
      </w:r>
      <w:proofErr w:type="spellStart"/>
      <w:proofErr w:type="gramStart"/>
      <w:r w:rsidRPr="008B48DF">
        <w:rPr>
          <w:rFonts w:ascii="Times New Roman" w:hAnsi="Times New Roman" w:cs="Times New Roman"/>
          <w:color w:val="050505"/>
          <w:shd w:val="clear" w:color="auto" w:fill="FFFFFF"/>
        </w:rPr>
        <w:t>Ph.D</w:t>
      </w:r>
      <w:proofErr w:type="spellEnd"/>
      <w:proofErr w:type="gramEnd"/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 Programme will be made once in a year (preferably during the Month of March). If need arises the call for proposal can be twice a year. However, the number of doctoral students to be 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lastRenderedPageBreak/>
        <w:t xml:space="preserve">supported by the Institute will not exceed 20 </w:t>
      </w:r>
      <w:r w:rsidR="008218B0">
        <w:rPr>
          <w:rFonts w:ascii="Times New Roman" w:hAnsi="Times New Roman" w:cs="Times New Roman"/>
          <w:color w:val="050505"/>
          <w:shd w:val="clear" w:color="auto" w:fill="FFFFFF"/>
        </w:rPr>
        <w:t xml:space="preserve">per year 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t xml:space="preserve">in </w:t>
      </w:r>
      <w:r w:rsidR="008218B0">
        <w:rPr>
          <w:rFonts w:ascii="Times New Roman" w:hAnsi="Times New Roman" w:cs="Times New Roman"/>
          <w:color w:val="050505"/>
          <w:shd w:val="clear" w:color="auto" w:fill="FFFFFF"/>
        </w:rPr>
        <w:t>any case</w:t>
      </w:r>
      <w:r w:rsidRPr="008B48DF">
        <w:rPr>
          <w:rFonts w:ascii="Times New Roman" w:hAnsi="Times New Roman" w:cs="Times New Roman"/>
          <w:color w:val="050505"/>
          <w:shd w:val="clear" w:color="auto" w:fill="FFFFFF"/>
        </w:rPr>
        <w:t>. The Doctoral Students need to avail the opportunity within a year.</w:t>
      </w:r>
      <w:bookmarkStart w:id="1" w:name="_GoBack"/>
      <w:bookmarkEnd w:id="1"/>
    </w:p>
    <w:sectPr w:rsidR="009C3144" w:rsidRPr="008B48DF" w:rsidSect="00345EA2">
      <w:pgSz w:w="11907" w:h="16839" w:code="9"/>
      <w:pgMar w:top="85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5297"/>
    <w:multiLevelType w:val="multilevel"/>
    <w:tmpl w:val="7AB84B7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4277"/>
    <w:multiLevelType w:val="multilevel"/>
    <w:tmpl w:val="0DCC9C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44"/>
    <w:rsid w:val="00104A51"/>
    <w:rsid w:val="00210C64"/>
    <w:rsid w:val="00396A6E"/>
    <w:rsid w:val="008218B0"/>
    <w:rsid w:val="009C3144"/>
    <w:rsid w:val="00B56616"/>
    <w:rsid w:val="00E22B3D"/>
    <w:rsid w:val="00EE328A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36C"/>
  <w15:chartTrackingRefBased/>
  <w15:docId w15:val="{C586CA25-407D-48CA-AC7C-D878951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1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</dc:creator>
  <cp:keywords/>
  <dc:description/>
  <cp:lastModifiedBy>Shalivan</cp:lastModifiedBy>
  <cp:revision>5</cp:revision>
  <cp:lastPrinted>2020-08-24T04:22:00Z</cp:lastPrinted>
  <dcterms:created xsi:type="dcterms:W3CDTF">2020-02-18T14:25:00Z</dcterms:created>
  <dcterms:modified xsi:type="dcterms:W3CDTF">2020-08-24T04:38:00Z</dcterms:modified>
</cp:coreProperties>
</file>