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oncology, cardiorenal, immunology therapeutic areas. Currently directing epidemiology and RWE strategy at Kiniksa Pharmaceuticals; previously led global oncology evidence generation at AstraZeneca, including HEOR/RWE strategy for ADC lung cancer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Oncology Evidence Generation</w:t>
      </w:r>
      <w:r>
        <w:rPr>
          <w:rFonts w:ascii="Calibri" w:hAnsi="Calibri"/>
          <w:color w:val="1A1A1A"/>
          <w:sz w:val="20"/>
        </w:rPr>
        <w:t xml:space="preserve">          •  Evidence Generation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Economic Modeling &amp; Budget Impact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Non-Interventional Study Design</w:t>
      </w:r>
      <w:r>
        <w:rPr>
          <w:rFonts w:ascii="Calibri" w:hAnsi="Calibri"/>
          <w:color w:val="1A1A1A"/>
          <w:sz w:val="20"/>
        </w:rPr>
        <w:t xml:space="preserve">          •  Cross-Functional Team Leadership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Payer &amp; HTA Presentations</w:t>
      </w:r>
      <w:r>
        <w:rPr>
          <w:rFonts w:ascii="Calibri" w:hAnsi="Calibri"/>
          <w:color w:val="1A1A1A"/>
          <w:sz w:val="20"/>
        </w:rPr>
        <w:t xml:space="preserve">          •  Real-World Data Platforms (Aetion, IQVIA, MarketScan)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Medical Affairs Strategy</w:t>
      </w:r>
      <w:r>
        <w:rPr>
          <w:rFonts w:ascii="Calibri" w:hAnsi="Calibri"/>
          <w:color w:val="1A1A1A"/>
          <w:sz w:val="20"/>
        </w:rPr>
        <w:t xml:space="preserve">          •  Regulatory Submissions &amp; AMCP Dossiers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relationships with key alliance counterparts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