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1A1A"/>
          <w:sz w:val="44"/>
        </w:rPr>
        <w:t>Vidhya Parameswaran</w:t>
      </w:r>
    </w:p>
    <w:p>
      <w:pPr>
        <w:spacing w:before="0" w:after="0"/>
        <w:jc w:val="center"/>
      </w:pPr>
      <w:r>
        <w:rPr>
          <w:rFonts w:ascii="Calibri" w:hAnsi="Calibri"/>
          <w:color w:val="555555"/>
          <w:sz w:val="18"/>
        </w:rPr>
        <w:t>Lexington, MA  |  617-460-6535  |  vidhya9102@gmail.com  |  https://www.linkedin.com/in/vidhya-parameswaran/</w:t>
      </w:r>
    </w:p>
    <w:p>
      <w:pPr>
        <w:spacing w:before="40" w:after="40"/>
        <w:pBdr>
          <w:bottom w:val="single" w:sz="6" w:space="1" w:color="0D666E"/>
        </w:pBdr>
      </w:pPr>
    </w:p>
    <w:p>
      <w:pPr>
        <w:spacing w:before="160" w:after="40"/>
      </w:pPr>
      <w:r>
        <w:rPr>
          <w:rFonts w:ascii="Calibri" w:hAnsi="Calibri"/>
          <w:b/>
          <w:color w:val="0D666E"/>
          <w:sz w:val="22"/>
        </w:rPr>
        <w:t>PROFESSIONAL SUMMARY</w:t>
      </w:r>
    </w:p>
    <w:p>
      <w:pPr>
        <w:spacing w:before="40" w:after="40"/>
        <w:pBdr>
          <w:bottom w:val="single" w:sz="6" w:space="1" w:color="0D666E"/>
        </w:pBdr>
      </w:pPr>
    </w:p>
    <w:p>
      <w:pPr>
        <w:spacing w:before="40" w:after="80" w:line="280" w:lineRule="exact"/>
      </w:pPr>
      <w:r>
        <w:rPr>
          <w:rFonts w:ascii="Calibri" w:hAnsi="Calibri"/>
          <w:color w:val="1A1A1A"/>
          <w:sz w:val="20"/>
        </w:rPr>
        <w:t>Director-level HEOR/RWE and epidemiology leader with experience spanning biotech and large pharma, driving global evidence generation strategy to support value, access, and medical affairs objectives. Deep expertise in observational study design (claims/EMR/registry), causal inference, burden of illness, and payer-relevant endpoints, with a track record partnering cross-functionally across medical, market access, safety, clinical development, and commercial. Oncology and rare disease-adjacent experience; ready to lead global HEOR roadmap and evidence generation for gene therapy programs.</w:t>
      </w:r>
    </w:p>
    <w:p>
      <w:pPr>
        <w:spacing w:before="160" w:after="40"/>
      </w:pPr>
      <w:r>
        <w:rPr>
          <w:rFonts w:ascii="Calibri" w:hAnsi="Calibri"/>
          <w:b/>
          <w:color w:val="0D666E"/>
          <w:sz w:val="22"/>
        </w:rPr>
        <w:t>CORE COMPETENCIES</w:t>
      </w:r>
    </w:p>
    <w:p>
      <w:pPr>
        <w:spacing w:before="40" w:after="40"/>
        <w:pBdr>
          <w:bottom w:val="single" w:sz="6" w:space="1" w:color="0D666E"/>
        </w:pBdr>
      </w:pPr>
    </w:p>
    <w:p>
      <w:pPr>
        <w:spacing w:before="0" w:after="20"/>
      </w:pPr>
      <w:r>
        <w:rPr>
          <w:rFonts w:ascii="Calibri" w:hAnsi="Calibri"/>
          <w:color w:val="1A1A1A"/>
          <w:sz w:val="20"/>
        </w:rPr>
        <w:t>•  HEOR &amp; Value Evidence Strategy</w:t>
      </w:r>
      <w:r>
        <w:rPr>
          <w:rFonts w:ascii="Calibri" w:hAnsi="Calibri"/>
          <w:color w:val="1A1A1A"/>
          <w:sz w:val="20"/>
        </w:rPr>
        <w:t xml:space="preserve">          •  Real-World Evidence (RWE) Generation</w:t>
      </w:r>
    </w:p>
    <w:p>
      <w:pPr>
        <w:spacing w:before="0" w:after="20"/>
      </w:pPr>
      <w:r>
        <w:rPr>
          <w:rFonts w:ascii="Calibri" w:hAnsi="Calibri"/>
          <w:color w:val="1A1A1A"/>
          <w:sz w:val="20"/>
        </w:rPr>
        <w:t>•  Epidemiology &amp; Pharmacoepidemiology</w:t>
      </w:r>
      <w:r>
        <w:rPr>
          <w:rFonts w:ascii="Calibri" w:hAnsi="Calibri"/>
          <w:color w:val="1A1A1A"/>
          <w:sz w:val="20"/>
        </w:rPr>
        <w:t xml:space="preserve">          •  Evidence Gap Assessment &amp; Roadmapping</w:t>
      </w:r>
    </w:p>
    <w:p>
      <w:pPr>
        <w:spacing w:before="0" w:after="20"/>
      </w:pPr>
      <w:r>
        <w:rPr>
          <w:rFonts w:ascii="Calibri" w:hAnsi="Calibri"/>
          <w:color w:val="1A1A1A"/>
          <w:sz w:val="20"/>
        </w:rPr>
        <w:t>•  Claims/EMR/Registry Data (Aetion, IQVIA, MarketScan)</w:t>
      </w:r>
      <w:r>
        <w:rPr>
          <w:rFonts w:ascii="Calibri" w:hAnsi="Calibri"/>
          <w:color w:val="1A1A1A"/>
          <w:sz w:val="20"/>
        </w:rPr>
        <w:t xml:space="preserve">          •  Causal Inference &amp; Observational Study Design</w:t>
      </w:r>
    </w:p>
    <w:p>
      <w:pPr>
        <w:spacing w:before="0" w:after="20"/>
      </w:pPr>
      <w:r>
        <w:rPr>
          <w:rFonts w:ascii="Calibri" w:hAnsi="Calibri"/>
          <w:color w:val="1A1A1A"/>
          <w:sz w:val="20"/>
        </w:rPr>
        <w:t>•  Burden of Illness / Natural History Studies</w:t>
      </w:r>
      <w:r>
        <w:rPr>
          <w:rFonts w:ascii="Calibri" w:hAnsi="Calibri"/>
          <w:color w:val="1A1A1A"/>
          <w:sz w:val="20"/>
        </w:rPr>
        <w:t xml:space="preserve">          •  Payer &amp; HTA Engagement Support</w:t>
      </w:r>
    </w:p>
    <w:p>
      <w:pPr>
        <w:spacing w:before="0" w:after="20"/>
      </w:pPr>
      <w:r>
        <w:rPr>
          <w:rFonts w:ascii="Calibri" w:hAnsi="Calibri"/>
          <w:color w:val="1A1A1A"/>
          <w:sz w:val="20"/>
        </w:rPr>
        <w:t>•  Budget Impact &amp; Outcomes Modeling</w:t>
      </w:r>
      <w:r>
        <w:rPr>
          <w:rFonts w:ascii="Calibri" w:hAnsi="Calibri"/>
          <w:color w:val="1A1A1A"/>
          <w:sz w:val="20"/>
        </w:rPr>
        <w:t xml:space="preserve">          •  Cross-functional Medical Affairs Leadership</w:t>
      </w:r>
    </w:p>
    <w:p>
      <w:pPr>
        <w:spacing w:before="160" w:after="40"/>
      </w:pPr>
      <w:r>
        <w:rPr>
          <w:rFonts w:ascii="Calibri" w:hAnsi="Calibri"/>
          <w:b/>
          <w:color w:val="0D666E"/>
          <w:sz w:val="22"/>
        </w:rPr>
        <w:t>PROFESSIONAL EXPERIENCE</w:t>
      </w:r>
    </w:p>
    <w:p>
      <w:pPr>
        <w:spacing w:before="40" w:after="40"/>
        <w:pBdr>
          <w:bottom w:val="single" w:sz="6" w:space="1" w:color="0D666E"/>
        </w:pBdr>
      </w:pPr>
    </w:p>
    <w:p>
      <w:pPr>
        <w:spacing w:before="120" w:after="20"/>
      </w:pPr>
      <w:r>
        <w:rPr>
          <w:rFonts w:ascii="Calibri" w:hAnsi="Calibri"/>
          <w:b/>
          <w:color w:val="1A1A1A"/>
          <w:sz w:val="20"/>
        </w:rPr>
        <w:t>Director, Medical Affairs — Epidemiology &amp; RWE</w:t>
      </w:r>
      <w:r>
        <w:rPr>
          <w:rFonts w:ascii="Calibri" w:hAnsi="Calibri"/>
          <w:color w:val="555555"/>
          <w:sz w:val="20"/>
        </w:rPr>
        <w:t xml:space="preserve"> | </w:t>
      </w:r>
      <w:r>
        <w:rPr>
          <w:rFonts w:ascii="Calibri" w:hAnsi="Calibri"/>
          <w:color w:val="1A1A1A"/>
          <w:sz w:val="20"/>
        </w:rPr>
        <w:t>Kiniksa Pharmaceuticals</w:t>
      </w:r>
    </w:p>
    <w:p>
      <w:pPr>
        <w:spacing w:before="0" w:after="40"/>
      </w:pPr>
      <w:r>
        <w:rPr>
          <w:rFonts w:ascii="Calibri" w:hAnsi="Calibri"/>
          <w:i/>
          <w:color w:val="555555"/>
          <w:sz w:val="18"/>
        </w:rPr>
        <w:t>Jul 2023 – Present</w:t>
      </w:r>
    </w:p>
    <w:p>
      <w:pPr>
        <w:pStyle w:val="ListBullet"/>
        <w:spacing w:before="0" w:after="20" w:line="260" w:lineRule="exact"/>
      </w:pPr>
      <w:r>
        <w:rPr>
          <w:rFonts w:ascii="Calibri" w:hAnsi="Calibri"/>
          <w:color w:val="1A1A1A"/>
          <w:sz w:val="20"/>
        </w:rPr>
        <w:t>Lead observational evidence strategy across cardiology and immunology portfolios, developing and executing studies on incidence/prevalence, burden of illness, and natural history to inform early development and business development decisions</w:t>
      </w:r>
    </w:p>
    <w:p>
      <w:pPr>
        <w:pStyle w:val="ListBullet"/>
        <w:spacing w:before="0" w:after="20" w:line="260" w:lineRule="exact"/>
      </w:pPr>
      <w:r>
        <w:rPr>
          <w:rFonts w:ascii="Calibri" w:hAnsi="Calibri"/>
          <w:color w:val="1A1A1A"/>
          <w:sz w:val="20"/>
        </w:rPr>
        <w:t>Partner cross-functionally (HEOR, safety, medical affairs, and clinical stakeholders) to prioritize evidence gaps and deliver payer- and regulator-relevant real-world insights</w:t>
      </w:r>
    </w:p>
    <w:p>
      <w:pPr>
        <w:pStyle w:val="ListBullet"/>
        <w:spacing w:before="0" w:after="20" w:line="260" w:lineRule="exact"/>
      </w:pPr>
      <w:r>
        <w:rPr>
          <w:rFonts w:ascii="Calibri" w:hAnsi="Calibri"/>
          <w:color w:val="1A1A1A"/>
          <w:sz w:val="20"/>
        </w:rPr>
        <w:t>Evaluate real-world data assets and establish data plans (licenses/platforms) across claims and EMR sources; implement dashboards and performance metrics to track evidence program execution</w:t>
      </w:r>
    </w:p>
    <w:p>
      <w:pPr>
        <w:pStyle w:val="ListBullet"/>
        <w:spacing w:before="0" w:after="20" w:line="260" w:lineRule="exact"/>
      </w:pPr>
      <w:r>
        <w:rPr>
          <w:rFonts w:ascii="Calibri" w:hAnsi="Calibri"/>
          <w:color w:val="1A1A1A"/>
          <w:sz w:val="20"/>
        </w:rPr>
        <w:t>Serve as core member of non-interventional study protocol review groups, ensuring methodological rigor and fit-for-purpose evidence generation</w:t>
      </w:r>
    </w:p>
    <w:p>
      <w:pPr>
        <w:spacing w:before="120" w:after="20"/>
      </w:pPr>
      <w:r>
        <w:rPr>
          <w:rFonts w:ascii="Calibri" w:hAnsi="Calibri"/>
          <w:b/>
          <w:color w:val="1A1A1A"/>
          <w:sz w:val="20"/>
        </w:rPr>
        <w:t>Associate Director, Oncology Outcomes Research</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2023 – Jul 2023</w:t>
      </w:r>
    </w:p>
    <w:p>
      <w:pPr>
        <w:pStyle w:val="ListBullet"/>
        <w:spacing w:before="0" w:after="20" w:line="260" w:lineRule="exact"/>
      </w:pPr>
      <w:r>
        <w:rPr>
          <w:rFonts w:ascii="Calibri" w:hAnsi="Calibri"/>
          <w:color w:val="1A1A1A"/>
          <w:sz w:val="20"/>
        </w:rPr>
        <w:t>Directed design, execution, analysis, and communication of global HEOR/RWE/epidemiology studies supporting medical affairs and access strategy for oncology portfolio (including lung cancer)</w:t>
      </w:r>
    </w:p>
    <w:p>
      <w:pPr>
        <w:pStyle w:val="ListBullet"/>
        <w:spacing w:before="0" w:after="20" w:line="260" w:lineRule="exact"/>
      </w:pPr>
      <w:r>
        <w:rPr>
          <w:rFonts w:ascii="Calibri" w:hAnsi="Calibri"/>
          <w:color w:val="1A1A1A"/>
          <w:sz w:val="20"/>
        </w:rPr>
        <w:t>Advised senior leaders on high-impact evidence opportunities and risks; aligned study plans with global medical, market access, and R&amp;D stakeholders</w:t>
      </w:r>
    </w:p>
    <w:p>
      <w:pPr>
        <w:pStyle w:val="ListBullet"/>
        <w:spacing w:before="0" w:after="20" w:line="260" w:lineRule="exact"/>
      </w:pPr>
      <w:r>
        <w:rPr>
          <w:rFonts w:ascii="Calibri" w:hAnsi="Calibri"/>
          <w:color w:val="1A1A1A"/>
          <w:sz w:val="20"/>
        </w:rPr>
        <w:t>Built external collaborations and ensured dissemination plans supported both scientific and value narratives</w:t>
      </w:r>
    </w:p>
    <w:p>
      <w:pPr>
        <w:spacing w:before="120" w:after="20"/>
      </w:pPr>
      <w:r>
        <w:rPr>
          <w:rFonts w:ascii="Calibri" w:hAnsi="Calibri"/>
          <w:b/>
          <w:color w:val="1A1A1A"/>
          <w:sz w:val="20"/>
        </w:rPr>
        <w:t>Associate Director, Global Real World Evidence Strategy</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2022 – Jan 2023</w:t>
      </w:r>
    </w:p>
    <w:p>
      <w:pPr>
        <w:pStyle w:val="ListBullet"/>
        <w:spacing w:before="0" w:after="20" w:line="260" w:lineRule="exact"/>
      </w:pPr>
      <w:r>
        <w:rPr>
          <w:rFonts w:ascii="Calibri" w:hAnsi="Calibri"/>
          <w:color w:val="1A1A1A"/>
          <w:sz w:val="20"/>
        </w:rPr>
        <w:t>Led creation and prioritization of evidence generation strategies for early and late-stage oncology programs, translating evidence gaps into patient-centric research roadmaps</w:t>
      </w:r>
    </w:p>
    <w:p>
      <w:pPr>
        <w:pStyle w:val="ListBullet"/>
        <w:spacing w:before="0" w:after="20" w:line="260" w:lineRule="exact"/>
      </w:pPr>
      <w:r>
        <w:rPr>
          <w:rFonts w:ascii="Calibri" w:hAnsi="Calibri"/>
          <w:color w:val="1A1A1A"/>
          <w:sz w:val="20"/>
        </w:rPr>
        <w:t>Provided strategic partnership across US/global medical, commercial, market access, and R&amp;D teams to align evidence plans with evolving market and reimbursement requirements</w:t>
      </w:r>
    </w:p>
    <w:p>
      <w:pPr>
        <w:pStyle w:val="ListBullet"/>
        <w:spacing w:before="0" w:after="20" w:line="260" w:lineRule="exact"/>
      </w:pPr>
      <w:r>
        <w:rPr>
          <w:rFonts w:ascii="Calibri" w:hAnsi="Calibri"/>
          <w:color w:val="1A1A1A"/>
          <w:sz w:val="20"/>
        </w:rPr>
        <w:t>Served as ISPOR Methods Advisory member, contributing methodological guidance and reinforcing credibility in observational methods</w:t>
      </w:r>
    </w:p>
    <w:p>
      <w:pPr>
        <w:spacing w:before="120" w:after="20"/>
      </w:pPr>
      <w:r>
        <w:rPr>
          <w:rFonts w:ascii="Calibri" w:hAnsi="Calibri"/>
          <w:b/>
          <w:color w:val="1A1A1A"/>
          <w:sz w:val="20"/>
        </w:rPr>
        <w:t>Senior Epidemiologist</w:t>
      </w:r>
      <w:r>
        <w:rPr>
          <w:rFonts w:ascii="Calibri" w:hAnsi="Calibri"/>
          <w:color w:val="555555"/>
          <w:sz w:val="20"/>
        </w:rPr>
        <w:t xml:space="preserve"> | </w:t>
      </w:r>
      <w:r>
        <w:rPr>
          <w:rFonts w:ascii="Calibri" w:hAnsi="Calibri"/>
          <w:color w:val="1A1A1A"/>
          <w:sz w:val="20"/>
        </w:rPr>
        <w:t>Fresenius Medical Care North America</w:t>
      </w:r>
    </w:p>
    <w:p>
      <w:pPr>
        <w:spacing w:before="0" w:after="40"/>
      </w:pPr>
      <w:r>
        <w:rPr>
          <w:rFonts w:ascii="Calibri" w:hAnsi="Calibri"/>
          <w:i/>
          <w:color w:val="555555"/>
          <w:sz w:val="18"/>
        </w:rPr>
        <w:t>Nov 2019 – Dec 2021</w:t>
      </w:r>
    </w:p>
    <w:p>
      <w:pPr>
        <w:pStyle w:val="ListBullet"/>
        <w:spacing w:before="0" w:after="20" w:line="260" w:lineRule="exact"/>
      </w:pPr>
      <w:r>
        <w:rPr>
          <w:rFonts w:ascii="Calibri" w:hAnsi="Calibri"/>
          <w:color w:val="1A1A1A"/>
          <w:sz w:val="20"/>
        </w:rPr>
        <w:t>Generated real-world evidence to support pre- and post-launch strategy for cardiorenal products using claims, EMR, and registry sources</w:t>
      </w:r>
    </w:p>
    <w:p>
      <w:pPr>
        <w:pStyle w:val="ListBullet"/>
        <w:spacing w:before="0" w:after="20" w:line="260" w:lineRule="exact"/>
      </w:pPr>
      <w:r>
        <w:rPr>
          <w:rFonts w:ascii="Calibri" w:hAnsi="Calibri"/>
          <w:color w:val="1A1A1A"/>
          <w:sz w:val="20"/>
        </w:rPr>
        <w:t>Developed study designs and statistical analysis plans for retrospective/prospective observational studies; led presentations to payers and HCPs</w:t>
      </w:r>
    </w:p>
    <w:p>
      <w:pPr>
        <w:pStyle w:val="ListBullet"/>
        <w:spacing w:before="0" w:after="20" w:line="260" w:lineRule="exact"/>
      </w:pPr>
      <w:r>
        <w:rPr>
          <w:rFonts w:ascii="Calibri" w:hAnsi="Calibri"/>
          <w:color w:val="1A1A1A"/>
          <w:sz w:val="20"/>
        </w:rPr>
        <w:t>Managed and mentored junior team members; provided guidance on SAS/R, causal inference, and big data research</w:t>
      </w:r>
    </w:p>
    <w:p>
      <w:pPr>
        <w:spacing w:before="120" w:after="20"/>
      </w:pPr>
      <w:r>
        <w:rPr>
          <w:rFonts w:ascii="Calibri" w:hAnsi="Calibri"/>
          <w:b/>
          <w:color w:val="1A1A1A"/>
          <w:sz w:val="20"/>
        </w:rPr>
        <w:t>Epidemiologist</w:t>
      </w:r>
      <w:r>
        <w:rPr>
          <w:rFonts w:ascii="Calibri" w:hAnsi="Calibri"/>
          <w:color w:val="555555"/>
          <w:sz w:val="20"/>
        </w:rPr>
        <w:t xml:space="preserve"> | </w:t>
      </w:r>
      <w:r>
        <w:rPr>
          <w:rFonts w:ascii="Calibri" w:hAnsi="Calibri"/>
          <w:color w:val="1A1A1A"/>
          <w:sz w:val="20"/>
        </w:rPr>
        <w:t>Fresenius Medical Care Canada</w:t>
      </w:r>
    </w:p>
    <w:p>
      <w:pPr>
        <w:spacing w:before="0" w:after="40"/>
      </w:pPr>
      <w:r>
        <w:rPr>
          <w:rFonts w:ascii="Calibri" w:hAnsi="Calibri"/>
          <w:i/>
          <w:color w:val="555555"/>
          <w:sz w:val="18"/>
        </w:rPr>
        <w:t>Feb 2018 – Oct 2019</w:t>
      </w:r>
    </w:p>
    <w:p>
      <w:pPr>
        <w:pStyle w:val="ListBullet"/>
        <w:spacing w:before="0" w:after="20" w:line="260" w:lineRule="exact"/>
      </w:pPr>
      <w:r>
        <w:rPr>
          <w:rFonts w:ascii="Calibri" w:hAnsi="Calibri"/>
          <w:color w:val="1A1A1A"/>
          <w:sz w:val="20"/>
        </w:rPr>
        <w:t>Conducted systematic/targeted literature reviews and meta-analyses supporting regulatory submissions to Health Canada</w:t>
      </w:r>
    </w:p>
    <w:p>
      <w:pPr>
        <w:pStyle w:val="ListBullet"/>
        <w:spacing w:before="0" w:after="20" w:line="260" w:lineRule="exact"/>
      </w:pPr>
      <w:r>
        <w:rPr>
          <w:rFonts w:ascii="Calibri" w:hAnsi="Calibri"/>
          <w:color w:val="1A1A1A"/>
          <w:sz w:val="20"/>
        </w:rPr>
        <w:t>Built analytical plans for observational studies, budget impact models, and network meta-analyses; collaborated with CROs and external data vendors</w:t>
      </w:r>
    </w:p>
    <w:p>
      <w:pPr>
        <w:spacing w:before="160" w:after="40"/>
      </w:pPr>
      <w:r>
        <w:rPr>
          <w:rFonts w:ascii="Calibri" w:hAnsi="Calibri"/>
          <w:b/>
          <w:color w:val="0D666E"/>
          <w:sz w:val="22"/>
        </w:rPr>
        <w:t>EDUCATION</w:t>
      </w:r>
    </w:p>
    <w:p>
      <w:pPr>
        <w:spacing w:before="40" w:after="40"/>
        <w:pBdr>
          <w:bottom w:val="single" w:sz="6" w:space="1" w:color="0D666E"/>
        </w:pBdr>
      </w:pPr>
    </w:p>
    <w:p>
      <w:pPr>
        <w:spacing w:before="40" w:after="20"/>
      </w:pPr>
      <w:r>
        <w:rPr>
          <w:rFonts w:ascii="Calibri" w:hAnsi="Calibri"/>
          <w:b/>
          <w:color w:val="1A1A1A"/>
          <w:sz w:val="20"/>
        </w:rPr>
        <w:t>Master of Public Health, Biostatistics &amp; Epidemiology</w:t>
      </w:r>
    </w:p>
    <w:p>
      <w:pPr>
        <w:spacing w:before="0" w:after="40"/>
      </w:pPr>
      <w:r>
        <w:rPr>
          <w:rFonts w:ascii="Calibri" w:hAnsi="Calibri"/>
          <w:color w:val="555555"/>
          <w:sz w:val="18"/>
        </w:rPr>
        <w:t>Boston University School of Public Health (2013–2015)</w:t>
      </w:r>
    </w:p>
    <w:p>
      <w:pPr>
        <w:spacing w:before="40" w:after="20"/>
      </w:pPr>
      <w:r>
        <w:rPr>
          <w:rFonts w:ascii="Calibri" w:hAnsi="Calibri"/>
          <w:b/>
          <w:color w:val="1A1A1A"/>
          <w:sz w:val="20"/>
        </w:rPr>
        <w:t>Bachelor of Technology, Chemical Engineering</w:t>
      </w:r>
    </w:p>
    <w:p>
      <w:pPr>
        <w:spacing w:before="0" w:after="40"/>
      </w:pPr>
      <w:r>
        <w:rPr>
          <w:rFonts w:ascii="Calibri" w:hAnsi="Calibri"/>
          <w:color w:val="555555"/>
          <w:sz w:val="18"/>
        </w:rPr>
        <w:t>Anna University, Chennai, India (2009–2013)</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