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Epidemiological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Data Platforms (Aetion, IQVIA, MarketScan)</w:t>
      </w:r>
      <w:r>
        <w:rPr>
          <w:rFonts w:ascii="Calibri" w:hAnsi="Calibri"/>
          <w:color w:val="1A1A1A"/>
          <w:sz w:val="20"/>
        </w:rPr>
        <w:t xml:space="preserve">          •  Medical Affairs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Core member of non-interventional study protocol review groups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