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 therapeutic areas. Currently directing epidemiology and RWE strategy at Kiniksa Pharmaceuticals; previously led global oncology evidence generation at AstraZeneca, including HEOR/RWE strategy for ADC lung cancer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Epidemiological Study Design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Non-Interventional Study Design</w:t>
      </w:r>
      <w:r>
        <w:rPr>
          <w:rFonts w:ascii="Calibri" w:hAnsi="Calibri"/>
          <w:color w:val="1A1A1A"/>
          <w:sz w:val="20"/>
        </w:rPr>
        <w:t xml:space="preserve">          •  Cross-Functional Team Leadership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Data Platforms (Aetion, IQVIA, MarketScan)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Patient Preference Studies</w:t>
      </w:r>
      <w:r>
        <w:rPr>
          <w:rFonts w:ascii="Calibri" w:hAnsi="Calibri"/>
          <w:color w:val="1A1A1A"/>
          <w:sz w:val="20"/>
        </w:rPr>
        <w:t xml:space="preserve">          •  Claims Data &amp; EMR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Vendor/CRO Management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Core member of non-interventional study protocol review groups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