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 therapeutic areas. Currently directing epidemiology and RWE strategy at Kiniksa Pharmaceuticals; previously led global oncology evidence generation at AstraZeneca, including HEOR/RWE strategy for ADC lung cancer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