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Calibri" w:hAnsi="Calibri"/>
          <w:b/>
          <w:color w:val="1A1A1A"/>
          <w:sz w:val="44"/>
        </w:rPr>
        <w:t>Vidhya Parameswaran</w:t>
      </w:r>
    </w:p>
    <w:p>
      <w:pPr>
        <w:spacing w:before="0" w:after="0"/>
        <w:jc w:val="center"/>
      </w:pPr>
      <w:r>
        <w:rPr>
          <w:rFonts w:ascii="Calibri" w:hAnsi="Calibri"/>
          <w:color w:val="555555"/>
          <w:sz w:val="18"/>
        </w:rPr>
        <w:t>Lexington, MA  |  617-460-6535  |  vidhya9102@gmail.com  |  https://www.linkedin.com/in/vidhya-parameswaran/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PROFESSIONAL SUMMARY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40" w:after="80" w:line="280" w:lineRule="exact"/>
      </w:pPr>
      <w:r>
        <w:rPr>
          <w:rFonts w:ascii="Calibri" w:hAnsi="Calibri"/>
          <w:color w:val="1A1A1A"/>
          <w:sz w:val="20"/>
        </w:rPr>
        <w:t>Senior real-world evidence and HEOR executive with 10+ years of progressive experience in pharma and biotech, spanning oncology, cardiorenal, immunology therapeutic areas. Currently directing epidemiology and RWE strategy at Kiniksa Pharmaceuticals; previously led global oncology evidence generation at AstraZeneca, including HEOR/RWE strategy for ADC lung cancer programs. Proven track record of building and leading cross-functional teams, establishing enterprise RWE strategy, and translating real-world data into actionable insights for regulators, payers, and clinicians. Author of 7 peer-reviewed publications with 62+ conference presentations at ISPOR, ASN, and PharmaSUG.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CORE COMPETENCIES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Real-World Evidence (RWE) Strategy</w:t>
      </w:r>
      <w:r>
        <w:rPr>
          <w:rFonts w:ascii="Calibri" w:hAnsi="Calibri"/>
          <w:color w:val="1A1A1A"/>
          <w:sz w:val="20"/>
        </w:rPr>
        <w:t xml:space="preserve">          •  Health Economics and Outcomes Research (HEOR)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Oncology Evidence Generation</w:t>
      </w:r>
      <w:r>
        <w:rPr>
          <w:rFonts w:ascii="Calibri" w:hAnsi="Calibri"/>
          <w:color w:val="1A1A1A"/>
          <w:sz w:val="20"/>
        </w:rPr>
        <w:t xml:space="preserve">          •  Evidence Generation Strategy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Epidemiological Study Design</w:t>
      </w:r>
      <w:r>
        <w:rPr>
          <w:rFonts w:ascii="Calibri" w:hAnsi="Calibri"/>
          <w:color w:val="1A1A1A"/>
          <w:sz w:val="20"/>
        </w:rPr>
        <w:t xml:space="preserve">          •  Economic Modeling &amp; Budget Impact Analysis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Non-Interventional Study Design</w:t>
      </w:r>
      <w:r>
        <w:rPr>
          <w:rFonts w:ascii="Calibri" w:hAnsi="Calibri"/>
          <w:color w:val="1A1A1A"/>
          <w:sz w:val="20"/>
        </w:rPr>
        <w:t xml:space="preserve">          •  Cross-Functional Team Leadership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Payer &amp; HTA Presentations</w:t>
      </w:r>
      <w:r>
        <w:rPr>
          <w:rFonts w:ascii="Calibri" w:hAnsi="Calibri"/>
          <w:color w:val="1A1A1A"/>
          <w:sz w:val="20"/>
        </w:rPr>
        <w:t xml:space="preserve">          •  Medical Affairs Strategy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Regulatory Submissions &amp; AMCP Dossiers</w:t>
      </w:r>
      <w:r>
        <w:rPr>
          <w:rFonts w:ascii="Calibri" w:hAnsi="Calibri"/>
          <w:color w:val="1A1A1A"/>
          <w:sz w:val="20"/>
        </w:rPr>
        <w:t xml:space="preserve">          •  Publication Strategy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PROFESSIONAL EXPERIENCE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Director, Medical Affairs — Epidemiology &amp; RWE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Kiniksa Pharmaceuticals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Jul 2023 – Present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Develop study concepts and execute studies of incidence/prevalence, burden of illness, and natural history of disease for business development and early development indications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Provide strategic and tactical support for cross-functional RWE development including registries, burden of illness/natural history of disease for regulators, payers, and clinicians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Establish innovative methods and integrate into HEOR, global safety, and medical affairs observational research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Adapt performance metrics and dashboards for RWE projects within cardiology and immunology therapeutic areas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Associate Director, Oncology Outcomes Research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AstraZeneca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Jan 2023 – Jul 2023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Led development and execution of global business strategy through evidence generation for AZ's ADC lung cancer portfolio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Directed design, execution, analysis, and communication of HEOR, RWE, and epidemiological studies supporting medical affairs and access strategy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Served as expert on RWE methods and cancer epidemiology for clinical development and commercialization of first-in-class therapeutic agents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Provided specialized recommendations to project execution teams and senior leaders on high-impact project opportunities and risks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Fostered relationships with key alliance counterparts across USMA, GMA, clinical safety, R&amp;D, market access, commercial, and international medical affairs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Associate Director, Global Real World Evidence Strategy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AstraZeneca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Jan 2022 – Jan 2023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Led creation and prioritization of medical evidence generation strategies for early and late-stage lung cancer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Worked with key stakeholders to identify evidence gaps and developed patient-centric research strategies for HCPs, payers, and patients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Provided strategic partnership on evidence generation plans across US and global medical, commercial, market access, and R&amp;D RWE teams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Led external engagement as ISPOR Methods Advisory member; provided recommendations on study design methodology for observational studies, HEOR, and epidemiological modeling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Senior Epidemiologist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Fresenius Medical Care North America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Nov 2019 – Dec 2021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Generated real-world evidence to support pre- and post-launch strategy for new and marketed cardiorenal products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Developed study designs and statistical analysis protocols for retrospective/prospective observational studies, disease registries, EMR, and administrative claims data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Managed IRB submissions and grant proposals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Epidemiologist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Fresenius Medical Care Canada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Feb 2018 – Oct 2019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Conducted systematic/targeted literature reviews and meta-analyses of renal therapies for regulatory submissions to Health Canada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Developed sample size and statistical analysis plans for observational studies, budget impact models, network meta-analyses, and cluster-randomized pragmatic trials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Evidence-Based Medical Analyst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Fresenius Medical Care North America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Feb 2015 – Jan 2018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Conducted comparative effectiveness research on dialysis therapies, cardiorenal drugs, and devices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Led publication of peer-reviewed manuscripts, research reports, and scientific posters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EDUCATION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40" w:after="20"/>
      </w:pPr>
      <w:r>
        <w:rPr>
          <w:rFonts w:ascii="Calibri" w:hAnsi="Calibri"/>
          <w:b/>
          <w:color w:val="1A1A1A"/>
          <w:sz w:val="20"/>
        </w:rPr>
        <w:t>Master of Public Health, Biostatistics &amp; Epidemiology</w:t>
      </w:r>
    </w:p>
    <w:p>
      <w:pPr>
        <w:spacing w:before="0" w:after="40"/>
      </w:pPr>
      <w:r>
        <w:rPr>
          <w:rFonts w:ascii="Calibri" w:hAnsi="Calibri"/>
          <w:color w:val="555555"/>
          <w:sz w:val="18"/>
        </w:rPr>
        <w:t>Boston University School of Public Health (2013–2015)</w:t>
      </w:r>
    </w:p>
    <w:p>
      <w:pPr>
        <w:spacing w:before="40" w:after="20"/>
      </w:pPr>
      <w:r>
        <w:rPr>
          <w:rFonts w:ascii="Calibri" w:hAnsi="Calibri"/>
          <w:b/>
          <w:color w:val="1A1A1A"/>
          <w:sz w:val="20"/>
        </w:rPr>
        <w:t>Bachelor of Technology, Chemical Engineering</w:t>
      </w:r>
    </w:p>
    <w:p>
      <w:pPr>
        <w:spacing w:before="0" w:after="40"/>
      </w:pPr>
      <w:r>
        <w:rPr>
          <w:rFonts w:ascii="Calibri" w:hAnsi="Calibri"/>
          <w:color w:val="555555"/>
          <w:sz w:val="18"/>
        </w:rPr>
        <w:t>Anna University, Chennai, India (2009–2013)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SELECT PUBLICATIONS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0" w:after="40" w:line="240" w:lineRule="exact"/>
      </w:pPr>
      <w:r>
        <w:rPr>
          <w:rFonts w:ascii="Calibri" w:hAnsi="Calibri"/>
          <w:color w:val="555555"/>
          <w:sz w:val="17"/>
        </w:rPr>
        <w:t>Kendrick et al. 2022. Serum Phosphorus and Pill Burden Among Hemodialysis Patients Prescribed Sucroferric Oxyhydroxide. International Journal of Nephrology and Renovascular Disease, 15:139-149</w:t>
      </w:r>
    </w:p>
    <w:p>
      <w:pPr>
        <w:spacing w:before="0" w:after="40" w:line="240" w:lineRule="exact"/>
      </w:pPr>
      <w:r>
        <w:rPr>
          <w:rFonts w:ascii="Calibri" w:hAnsi="Calibri"/>
          <w:color w:val="555555"/>
          <w:sz w:val="17"/>
        </w:rPr>
        <w:t>Molony, Parameswaran, et al. 2020. Sucroferric Oxyhydroxide as Part of Combination Phosphate Binder Therapy Among Hemodialysis Patients. Kidney360</w:t>
      </w:r>
    </w:p>
    <w:p>
      <w:pPr>
        <w:spacing w:before="0" w:after="40" w:line="240" w:lineRule="exact"/>
      </w:pPr>
      <w:r>
        <w:rPr>
          <w:rFonts w:ascii="Calibri" w:hAnsi="Calibri"/>
          <w:color w:val="555555"/>
          <w:sz w:val="17"/>
        </w:rPr>
        <w:t>Coyne, Ficociello, Parameswaran, et al. 2020. Sucroferric Oxyhydroxide in Maintenance Hemodialysis: A Retrospective, Comparative Cohort Study. Kidney Medicine</w:t>
      </w:r>
    </w:p>
    <w:p>
      <w:pPr>
        <w:spacing w:before="0" w:after="40" w:line="240" w:lineRule="exact"/>
      </w:pPr>
      <w:r>
        <w:rPr>
          <w:rFonts w:ascii="Calibri" w:hAnsi="Calibri"/>
          <w:color w:val="555555"/>
          <w:sz w:val="17"/>
        </w:rPr>
        <w:t>Kalantar-Zadeh, Ficociello, Parameswaran, et al. 2019. Changes in Serum Albumin and Other Nutritional Markers when Using Sucroferric Oxyhydroxide. BMC Nephrology, 20(1), p.396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AWARDS &amp; RECOGNITION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Most Valuable Player Award, Fresenius Medical Care Global Marketing Inc. (2021)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Best Paper Award, PharmaSUG Conference, Seattle (2018)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Award for Excellence, Fresenius Medical Care North America (2016, 2019)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