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Calibri" w:hAnsi="Calibri"/>
          <w:b/>
          <w:color w:val="1A1A1A"/>
          <w:sz w:val="44"/>
        </w:rPr>
        <w:t>Vidhya Parameswaran</w:t>
      </w:r>
    </w:p>
    <w:p>
      <w:pPr>
        <w:spacing w:before="0" w:after="0"/>
        <w:jc w:val="center"/>
      </w:pPr>
      <w:r>
        <w:rPr>
          <w:rFonts w:ascii="Calibri" w:hAnsi="Calibri"/>
          <w:color w:val="555555"/>
          <w:sz w:val="18"/>
        </w:rPr>
        <w:t>Lexington, MA  |  617-460-6535  |  vidhya9102@gmail.com  |  https://www.linkedin.com/in/vidhya-parameswaran/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SUMMARY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80" w:line="280" w:lineRule="exact"/>
      </w:pPr>
      <w:r>
        <w:rPr>
          <w:rFonts w:ascii="Calibri" w:hAnsi="Calibri"/>
          <w:color w:val="1A1A1A"/>
          <w:sz w:val="20"/>
        </w:rPr>
        <w:t>Senior real-world evidence and HEOR executive with 10+ years of progressive experience in pharma and biotech, spanning oncology, cardiorenal, immunology therapeutic areas. Currently directing epidemiology and RWE strategy at Kiniksa Pharmaceuticals; previously led global real-world evidence strategy at AstraZeneca across oncology evidence generation programs. Proven track record of building and leading cross-functional teams, establishing enterprise RWE strategy, and translating real-world data into actionable insights for regulators, payers, and clinicians. Author of 7 peer-reviewed publications with 62+ conference presentations at ISPOR, ASN, and PharmaSUG.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CORE COMPETENCIES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Real-World Evidence (RWE) Strategy</w:t>
      </w:r>
      <w:r>
        <w:rPr>
          <w:rFonts w:ascii="Calibri" w:hAnsi="Calibri"/>
          <w:color w:val="1A1A1A"/>
          <w:sz w:val="20"/>
        </w:rPr>
        <w:t xml:space="preserve">          •  Health Economics and Outcomes Research (HEOR)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Epidemiological Study Design</w:t>
      </w:r>
      <w:r>
        <w:rPr>
          <w:rFonts w:ascii="Calibri" w:hAnsi="Calibri"/>
          <w:color w:val="1A1A1A"/>
          <w:sz w:val="20"/>
        </w:rPr>
        <w:t xml:space="preserve">          •  Economic Modeling &amp; Budget Impact 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Cross-Functional Team Leadership</w:t>
      </w:r>
      <w:r>
        <w:rPr>
          <w:rFonts w:ascii="Calibri" w:hAnsi="Calibri"/>
          <w:color w:val="1A1A1A"/>
          <w:sz w:val="20"/>
        </w:rPr>
        <w:t xml:space="preserve">          •  Payer &amp; HTA Presentations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Regulatory Submissions &amp; AMCP Dossiers</w:t>
      </w:r>
      <w:r>
        <w:rPr>
          <w:rFonts w:ascii="Calibri" w:hAnsi="Calibri"/>
          <w:color w:val="1A1A1A"/>
          <w:sz w:val="20"/>
        </w:rPr>
        <w:t xml:space="preserve">          •  Publication Strategy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Patient Preference Studies</w:t>
      </w:r>
      <w:r>
        <w:rPr>
          <w:rFonts w:ascii="Calibri" w:hAnsi="Calibri"/>
          <w:color w:val="1A1A1A"/>
          <w:sz w:val="20"/>
        </w:rPr>
        <w:t xml:space="preserve">          •  Systematic Literature Review &amp; Meta-Analysis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Vendor/CRO Management</w:t>
      </w:r>
      <w:r>
        <w:rPr>
          <w:rFonts w:ascii="Calibri" w:hAnsi="Calibri"/>
          <w:color w:val="1A1A1A"/>
          <w:sz w:val="20"/>
        </w:rPr>
        <w:t xml:space="preserve">          •  Global RWE Strategy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PROFESSIONAL EXPERIENCE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Director, Medical Affairs — Epidemiology &amp; RWE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Kiniksa Pharmaceuticals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Jul 2023 – Present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 study concepts and execute studies of incidence/prevalence, burden of illness, and natural history of disease for business development and early development indications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 strategic and tactical support for cross-functional RWE development including registries, burden of illness/natural history of disease for regulators, payers, and clinicians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Establish innovative methods and integrate into HEOR, global safety, and medical affairs observational research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Adapt performance metrics and dashboards for RWE projects within cardiology and immunology therapeutic areas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Oncology Outcomes Research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2023 – Jul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development and execution of global business strategy through evidence generation for AZ's ADC lung cancer portfolio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Directed design, execution, analysis, and communication of HEOR, RWE, and epidemiological studies supporting medical affairs and access strategy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Associate Director, Global Real World Evidence Strategy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AstraZeneca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Jan 2022 – Jan 2023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creation and prioritization of medical evidence generation strategies for early and late-stage lung cancer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Worked with key stakeholders to identify evidence gaps and developed patient-centric research strategies for HCPs, payers, and patients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Provided strategic partnership on evidence generation plans across US and global medical, commercial, market access, and R&amp;D RWE teams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Senior 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Nov 2019 – Dec 2021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Generated real-world evidence to support pre- and post-launch strategy for new and marketed cardiorenal products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study designs and statistical analysis protocols for retrospective/prospective observational studies, disease registries, EMR, and administrative claims data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Managed IRB submissions and grant proposals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Epidemiologist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Canada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2018 – Oct 2019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systematic/targeted literature reviews and meta-analyses of renal therapies for regulatory submissions to Health Canada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Developed sample size and statistical analysis plans for observational studies, budget impact models, network meta-analyses, and cluster-randomized pragmatic trials</w:t>
      </w:r>
    </w:p>
    <w:p>
      <w:pPr>
        <w:spacing w:before="120" w:after="20"/>
      </w:pPr>
      <w:r>
        <w:rPr>
          <w:rFonts w:ascii="Calibri" w:hAnsi="Calibri"/>
          <w:b/>
          <w:color w:val="1A1A1A"/>
          <w:sz w:val="20"/>
        </w:rPr>
        <w:t>Evidence-Based Medical Analyst</w:t>
      </w:r>
      <w:r>
        <w:rPr>
          <w:rFonts w:ascii="Calibri" w:hAnsi="Calibri"/>
          <w:color w:val="555555"/>
          <w:sz w:val="20"/>
        </w:rPr>
        <w:t xml:space="preserve"> | </w:t>
      </w:r>
      <w:r>
        <w:rPr>
          <w:rFonts w:ascii="Calibri" w:hAnsi="Calibri"/>
          <w:color w:val="1A1A1A"/>
          <w:sz w:val="20"/>
        </w:rPr>
        <w:t>Fresenius Medical Care North America</w:t>
      </w:r>
    </w:p>
    <w:p>
      <w:pPr>
        <w:spacing w:before="0" w:after="40"/>
      </w:pPr>
      <w:r>
        <w:rPr>
          <w:rFonts w:ascii="Calibri" w:hAnsi="Calibri"/>
          <w:i/>
          <w:color w:val="555555"/>
          <w:sz w:val="18"/>
        </w:rPr>
        <w:t>Feb 2015 – Jan 2018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Conducted comparative effectiveness research on dialysis therapies, cardiorenal drugs, and devices</w:t>
      </w:r>
    </w:p>
    <w:p>
      <w:pPr>
        <w:pStyle w:val="ListBullet"/>
        <w:spacing w:before="0" w:after="20" w:line="260" w:lineRule="exact"/>
      </w:pPr>
      <w:r>
        <w:rPr>
          <w:rFonts w:ascii="Calibri" w:hAnsi="Calibri"/>
          <w:color w:val="1A1A1A"/>
          <w:sz w:val="20"/>
        </w:rPr>
        <w:t>Led publication of peer-reviewed manuscripts, research reports, and scientific posters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EDUCATION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Master of Public Health, Biostatistics &amp; Epidemiology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Boston University School of Public Health (2013–2015)</w:t>
      </w:r>
    </w:p>
    <w:p>
      <w:pPr>
        <w:spacing w:before="40" w:after="20"/>
      </w:pPr>
      <w:r>
        <w:rPr>
          <w:rFonts w:ascii="Calibri" w:hAnsi="Calibri"/>
          <w:b/>
          <w:color w:val="1A1A1A"/>
          <w:sz w:val="20"/>
        </w:rPr>
        <w:t>Bachelor of Technology, Chemical Engineering</w:t>
      </w:r>
    </w:p>
    <w:p>
      <w:pPr>
        <w:spacing w:before="0" w:after="40"/>
      </w:pPr>
      <w:r>
        <w:rPr>
          <w:rFonts w:ascii="Calibri" w:hAnsi="Calibri"/>
          <w:color w:val="555555"/>
          <w:sz w:val="18"/>
        </w:rPr>
        <w:t>Anna University, Chennai, India (2009–2013)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SELECT PUBLICATIONS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Kendrick et al. 2022. Serum Phosphorus and Pill Burden Among Hemodialysis Patients Prescribed Sucroferric Oxyhydroxide. International Journal of Nephrology and Renovascular Disease, 15:139-149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Molony, Parameswaran, et al. 2020. Sucroferric Oxyhydroxide as Part of Combination Phosphate Binder Therapy Among Hemodialysis Patients. Kidney360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Coyne, Ficociello, Parameswaran, et al. 2020. Sucroferric Oxyhydroxide in Maintenance Hemodialysis: A Retrospective, Comparative Cohort Study. Kidney Medicine</w:t>
      </w:r>
    </w:p>
    <w:p>
      <w:pPr>
        <w:spacing w:before="0" w:after="40" w:line="240" w:lineRule="exact"/>
      </w:pPr>
      <w:r>
        <w:rPr>
          <w:rFonts w:ascii="Calibri" w:hAnsi="Calibri"/>
          <w:color w:val="555555"/>
          <w:sz w:val="17"/>
        </w:rPr>
        <w:t>Kalantar-Zadeh, Ficociello, Parameswaran, et al. 2019. Changes in Serum Albumin and Other Nutritional Markers when Using Sucroferric Oxyhydroxide. BMC Nephrology, 20(1), p.396</w:t>
      </w:r>
    </w:p>
    <w:p>
      <w:pPr>
        <w:spacing w:before="160" w:after="40"/>
      </w:pPr>
      <w:r>
        <w:rPr>
          <w:rFonts w:ascii="Calibri" w:hAnsi="Calibri"/>
          <w:b/>
          <w:color w:val="0D666E"/>
          <w:sz w:val="22"/>
        </w:rPr>
        <w:t>AWARDS &amp; RECOGNITION</w:t>
      </w:r>
    </w:p>
    <w:p>
      <w:pPr>
        <w:spacing w:before="40" w:after="40"/>
        <w:pBdr>
          <w:bottom w:val="single" w:sz="6" w:space="1" w:color="0D666E"/>
        </w:pBdr>
      </w:pP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Most Valuable Player Award, Fresenius Medical Care Global Marketing Inc. (2021)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Best Paper Award, PharmaSUG Conference, Seattle (2018)</w:t>
      </w:r>
    </w:p>
    <w:p>
      <w:pPr>
        <w:spacing w:before="0" w:after="20"/>
      </w:pPr>
      <w:r>
        <w:rPr>
          <w:rFonts w:ascii="Calibri" w:hAnsi="Calibri"/>
          <w:color w:val="1A1A1A"/>
          <w:sz w:val="20"/>
        </w:rPr>
        <w:t>•  Award for Excellence, Fresenius Medical Care North America (2016, 2019)</w:t>
      </w:r>
    </w:p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1A1A1A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