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Strategic real-world evidence and HEOR leader with 10+ years of progressive experience in pharma and biotech, spanning oncology, cardiorenal, immunology therapeutic areas. Currently directing epidemiology and RWE strategy at Kiniksa Pharmaceuticals; previously led global real-world evidence strategy at AstraZeneca across oncology evidence generation programs. Proven track record of leading cross-functional teams, managing external vendor partnerships, and translating real-world data into actionable insights for regulators, payers, and HCPs.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Economic Modeling &amp; Budget Impact 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Cross-Functional Team Leadership</w:t>
      </w:r>
      <w:r>
        <w:rPr>
          <w:rFonts w:ascii="Calibri" w:hAnsi="Calibri"/>
          <w:color w:val="1A1A1A"/>
          <w:sz w:val="20"/>
        </w:rPr>
        <w:t xml:space="preserve">          •  Payer &amp; HTA Presentations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Publication Strategy</w:t>
      </w:r>
      <w:r>
        <w:rPr>
          <w:rFonts w:ascii="Calibri" w:hAnsi="Calibri"/>
          <w:color w:val="1A1A1A"/>
          <w:sz w:val="20"/>
        </w:rPr>
        <w:t xml:space="preserve">          •  Patient Preference Studies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Systematic Literature Review &amp; Meta-Analysis</w:t>
      </w:r>
      <w:r>
        <w:rPr>
          <w:rFonts w:ascii="Calibri" w:hAnsi="Calibri"/>
          <w:color w:val="1A1A1A"/>
          <w:sz w:val="20"/>
        </w:rPr>
        <w:t xml:space="preserve">          •  Vendor/CRO Management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Competitive Landscape Analysis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