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Senior real-world evidence and HEOR executive with 10+ years of progressive experience in pharma and biotech, spanning oncology, cardiorenal, immunology therapeutic areas. Currently directing epidemiology and RWE strategy at Kiniksa Pharmaceuticals; previously led global real-world evidence strategy at AstraZeneca across oncology evidence generation programs. Proven track record of building and leading cross-functional teams, establishing enterprise RWE strategy, and translating real-world data into actionable insights for regulators, payers, and clinicians.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Economic Modeling &amp; Budget Impact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Non-Interventional Study Design</w:t>
      </w:r>
      <w:r>
        <w:rPr>
          <w:rFonts w:ascii="Calibri" w:hAnsi="Calibri"/>
          <w:color w:val="1A1A1A"/>
          <w:sz w:val="20"/>
        </w:rPr>
        <w:t xml:space="preserve">          •  Cross-Functional Team Leadership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Payer &amp; HTA Presentations</w:t>
      </w:r>
      <w:r>
        <w:rPr>
          <w:rFonts w:ascii="Calibri" w:hAnsi="Calibri"/>
          <w:color w:val="1A1A1A"/>
          <w:sz w:val="20"/>
        </w:rPr>
        <w:t xml:space="preserve">          •  Real-World Data Platforms (Aetion, IQVIA, MarketScan)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Regulatory Submissions &amp; AMCP Dossiers</w:t>
      </w:r>
      <w:r>
        <w:rPr>
          <w:rFonts w:ascii="Calibri" w:hAnsi="Calibri"/>
          <w:color w:val="1A1A1A"/>
          <w:sz w:val="20"/>
        </w:rPr>
        <w:t xml:space="preserve">          •  Publication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Patient Preference Studies</w:t>
      </w:r>
      <w:r>
        <w:rPr>
          <w:rFonts w:ascii="Calibri" w:hAnsi="Calibri"/>
          <w:color w:val="1A1A1A"/>
          <w:sz w:val="20"/>
        </w:rPr>
        <w:t xml:space="preserve">          •  Claims Data &amp; EMR Analysis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