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Strategic real-world evidence and HEOR leader with 10+ years of progressive experience in pharma and biotech, spanning oncology, cardiorenal, immunology therapeutic areas. Currently directing epidemiology and RWE strategy at Kiniksa Pharmaceuticals; previously led global real-world evidence strategy at AstraZeneca across oncology evidence generation programs. Proven track record of leading cross-functional teams, managing external vendor partnerships, and translating real-world data into actionable insights for regulators, payers, and HCPs. Author of 7 peer-reviewed publications with 62+ conference presentations at ISPOR, ASN, and PharmaSUG.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Health Economics and Outcomes Research (HEOR)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Epidemiological Study Design</w:t>
      </w:r>
      <w:r>
        <w:rPr>
          <w:rFonts w:ascii="Calibri" w:hAnsi="Calibri"/>
          <w:color w:val="1A1A1A"/>
          <w:sz w:val="20"/>
        </w:rPr>
        <w:t xml:space="preserve">          •  Economic Modeling &amp; Budget Impact Analysis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Non-Interventional Study Design</w:t>
      </w:r>
      <w:r>
        <w:rPr>
          <w:rFonts w:ascii="Calibri" w:hAnsi="Calibri"/>
          <w:color w:val="1A1A1A"/>
          <w:sz w:val="20"/>
        </w:rPr>
        <w:t xml:space="preserve">          •  Cross-Functional Team Leadership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Payer &amp; HTA Presentations</w:t>
      </w:r>
      <w:r>
        <w:rPr>
          <w:rFonts w:ascii="Calibri" w:hAnsi="Calibri"/>
          <w:color w:val="1A1A1A"/>
          <w:sz w:val="20"/>
        </w:rPr>
        <w:t xml:space="preserve">          •  Medical Affairs Strategy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Regulatory Submissions &amp; AMCP Dossiers</w:t>
      </w:r>
      <w:r>
        <w:rPr>
          <w:rFonts w:ascii="Calibri" w:hAnsi="Calibri"/>
          <w:color w:val="1A1A1A"/>
          <w:sz w:val="20"/>
        </w:rPr>
        <w:t xml:space="preserve">          •  Publication Strategy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Patient Preference Studies</w:t>
      </w:r>
      <w:r>
        <w:rPr>
          <w:rFonts w:ascii="Calibri" w:hAnsi="Calibri"/>
          <w:color w:val="1A1A1A"/>
          <w:sz w:val="20"/>
        </w:rPr>
        <w:t xml:space="preserve">          •  Systematic Literature Review &amp; Meta-Analysis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 study concepts and execute studies of incidence/prevalence, burden of illness, and natural history of disease for business development and early development indications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SELECT PUBLICATIONS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Kendrick et al. 2022. Serum Phosphorus and Pill Burden Among Hemodialysis Patients Prescribed Sucroferric Oxyhydroxide. International Journal of Nephrology and Renovascular Disease, 15:139-149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Molony, Parameswaran, et al. 2020. Sucroferric Oxyhydroxide as Part of Combination Phosphate Binder Therapy Among Hemodialysis Patients. Kidney360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Coyne, Ficociello, Parameswaran, et al. 2020. Sucroferric Oxyhydroxide in Maintenance Hemodialysis: A Retrospective, Comparative Cohort Study. Kidney Medicine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Kalantar-Zadeh, Ficociello, Parameswaran, et al. 2019. Changes in Serum Albumin and Other Nutritional Markers when Using Sucroferric Oxyhydroxide. BMC Nephrology, 20(1), p.396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AWARDS &amp; RECOGNITION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Most Valuable Player Award, Fresenius Medical Care Global Marketing Inc. (2021)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Best Paper Award, PharmaSUG Conference, Seattle (2018)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Award for Excellence, Fresenius Medical Care North America (2016, 2019)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