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Senior real-world evidence and HEOR executive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building and leading cross-functional teams, establishing enterprise RWE strategy, and translating real-world data into actionable insights for regulators, payers, and clinicians.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Non-Interventional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Causal Inference &amp; Pharmacoepidemiology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Claims Data &amp; EMR Analysis</w:t>
      </w:r>
      <w:r>
        <w:rPr>
          <w:rFonts w:ascii="Calibri" w:hAnsi="Calibri"/>
          <w:color w:val="1A1A1A"/>
          <w:sz w:val="20"/>
        </w:rPr>
        <w:t xml:space="preserve">          •  SAS, R, Tableau Analytics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  <w:r>
        <w:rPr>
          <w:rFonts w:ascii="Calibri" w:hAnsi="Calibri"/>
          <w:color w:val="1A1A1A"/>
          <w:sz w:val="20"/>
        </w:rPr>
        <w:t xml:space="preserve">          •  Global RWE Strategy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