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Economic Modeling &amp; Budget Impact Analysis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Competitive Landscape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