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Senior real-world evidence and HEOR executive with 10+ years of progressive experience in pharma and biotech, spanning oncology, cardiorenal, immunology therapeutic areas. Currently directing epidemiology and RWE strategy at Kiniksa Pharmaceuticals; previously led global real-world evidence strategy at AstraZeneca across oncology evidence generation programs. Proven track record of building and leading cross-functional teams, establishing enterprise RWE strategy, and translating real-world data into actionable insights for regulators, payers, and clinicians.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Payer &amp; HTA Presentations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Regulatory Submissions &amp; AMCP Dossiers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Vendor/CRO Management</w:t>
      </w:r>
      <w:r>
        <w:rPr>
          <w:rFonts w:ascii="Calibri" w:hAnsi="Calibri"/>
          <w:color w:val="1A1A1A"/>
          <w:sz w:val="20"/>
        </w:rPr>
        <w:t xml:space="preserve">          •  Global RWE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Competitive Landscape Analysis</w:t>
      </w:r>
      <w:r>
        <w:rPr>
          <w:rFonts w:ascii="Calibri" w:hAnsi="Calibri"/>
          <w:color w:val="1A1A1A"/>
          <w:sz w:val="20"/>
        </w:rPr>
        <w:t xml:space="preserve">          •  Value &amp; Access Strategy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