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immunology therapeutic areas. Currently directing epidemiology and RWE strategy at Kiniksa Pharmaceuticals; previously led global real-world evidence strategy at AstraZeneca across oncology evidence generation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Economic Modeling &amp; Budget Impact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Non-Interventional Study Design</w:t>
      </w:r>
      <w:r>
        <w:rPr>
          <w:rFonts w:ascii="Calibri" w:hAnsi="Calibri"/>
          <w:color w:val="1A1A1A"/>
          <w:sz w:val="20"/>
        </w:rPr>
        <w:t xml:space="preserve">          •  Cross-Functional Team Leadership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Payer &amp; HTA Presentations</w:t>
      </w:r>
      <w:r>
        <w:rPr>
          <w:rFonts w:ascii="Calibri" w:hAnsi="Calibri"/>
          <w:color w:val="1A1A1A"/>
          <w:sz w:val="20"/>
        </w:rPr>
        <w:t xml:space="preserve">          •  Real-World Data Platforms (Aetion, IQVIA, MarketScan)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Regulatory Submissions &amp; AMCP Dossiers</w:t>
      </w:r>
      <w:r>
        <w:rPr>
          <w:rFonts w:ascii="Calibri" w:hAnsi="Calibri"/>
          <w:color w:val="1A1A1A"/>
          <w:sz w:val="20"/>
        </w:rPr>
        <w:t xml:space="preserve">          •  Publication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Claims Data &amp; EMR Analysis</w:t>
      </w:r>
      <w:r>
        <w:rPr>
          <w:rFonts w:ascii="Calibri" w:hAnsi="Calibri"/>
          <w:color w:val="1A1A1A"/>
          <w:sz w:val="20"/>
        </w:rPr>
        <w:t xml:space="preserve">          •  Vendor/CRO Management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