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A1A1A"/>
          <w:sz w:val="44"/>
        </w:rPr>
        <w:t>Vidhya Parameswaran</w:t>
      </w:r>
    </w:p>
    <w:p>
      <w:pPr>
        <w:spacing w:before="0" w:after="0"/>
        <w:jc w:val="center"/>
      </w:pPr>
      <w:r>
        <w:rPr>
          <w:rFonts w:ascii="Calibri" w:hAnsi="Calibri"/>
          <w:color w:val="555555"/>
          <w:sz w:val="18"/>
        </w:rPr>
        <w:t>Lexington, MA  |  617-460-6535  |  vidhya9102@gmail.com  |  https://www.linkedin.com/in/vidhya-parameswaran/</w:t>
      </w:r>
    </w:p>
    <w:p>
      <w:pPr>
        <w:spacing w:before="40" w:after="40"/>
        <w:pBdr>
          <w:bottom w:val="single" w:sz="6" w:space="1" w:color="0D666E"/>
        </w:pBdr>
      </w:pPr>
    </w:p>
    <w:p>
      <w:pPr>
        <w:spacing w:before="160" w:after="40"/>
      </w:pPr>
      <w:r>
        <w:rPr>
          <w:rFonts w:ascii="Calibri" w:hAnsi="Calibri"/>
          <w:b/>
          <w:color w:val="0D666E"/>
          <w:sz w:val="22"/>
        </w:rPr>
        <w:t>PROFESSIONAL SUMMARY</w:t>
      </w:r>
    </w:p>
    <w:p>
      <w:pPr>
        <w:spacing w:before="40" w:after="40"/>
        <w:pBdr>
          <w:bottom w:val="single" w:sz="6" w:space="1" w:color="0D666E"/>
        </w:pBdr>
      </w:pPr>
    </w:p>
    <w:p>
      <w:pPr>
        <w:spacing w:before="40" w:after="80" w:line="280" w:lineRule="exact"/>
      </w:pPr>
      <w:r>
        <w:rPr>
          <w:rFonts w:ascii="Calibri" w:hAnsi="Calibri"/>
          <w:color w:val="1A1A1A"/>
          <w:sz w:val="20"/>
        </w:rPr>
        <w:t>RWE/HEOR leader with + years driving evidence generation, value strategy, and publications across biopharma. Experienced building and leading high-performing teams, shaping integrated evidence plans, and partnering with Medical Affairs, Market Access, and Commercial to influence payer and HTA decisions. Targeting Vice President, Health Economics and Outcomes Research at Crinetics Pharmaceuticals.</w:t>
      </w:r>
    </w:p>
    <w:p>
      <w:pPr>
        <w:spacing w:before="160" w:after="40"/>
      </w:pPr>
      <w:r>
        <w:rPr>
          <w:rFonts w:ascii="Calibri" w:hAnsi="Calibri"/>
          <w:b/>
          <w:color w:val="0D666E"/>
          <w:sz w:val="22"/>
        </w:rPr>
        <w:t>CORE COMPETENCIES</w:t>
      </w:r>
    </w:p>
    <w:p>
      <w:pPr>
        <w:spacing w:before="40" w:after="40"/>
        <w:pBdr>
          <w:bottom w:val="single" w:sz="6" w:space="1" w:color="0D666E"/>
        </w:pBdr>
      </w:pPr>
    </w:p>
    <w:p>
      <w:pPr>
        <w:spacing w:before="0" w:after="20"/>
      </w:pPr>
      <w:r>
        <w:rPr>
          <w:rFonts w:ascii="Calibri" w:hAnsi="Calibri"/>
          <w:color w:val="1A1A1A"/>
          <w:sz w:val="20"/>
        </w:rPr>
        <w:t>•  Enterprise Evidence Leadership &amp; Team Building</w:t>
      </w:r>
      <w:r>
        <w:rPr>
          <w:rFonts w:ascii="Calibri" w:hAnsi="Calibri"/>
          <w:color w:val="1A1A1A"/>
          <w:sz w:val="20"/>
        </w:rPr>
        <w:t xml:space="preserve">          •  External Engagement (Payers, HTA, KOLs)</w:t>
      </w:r>
    </w:p>
    <w:p>
      <w:pPr>
        <w:spacing w:before="0" w:after="20"/>
      </w:pPr>
      <w:r>
        <w:rPr>
          <w:rFonts w:ascii="Calibri" w:hAnsi="Calibri"/>
          <w:color w:val="1A1A1A"/>
          <w:sz w:val="20"/>
        </w:rPr>
        <w:t>•  Real-World Evidence (RWE) Strategy</w:t>
      </w:r>
      <w:r>
        <w:rPr>
          <w:rFonts w:ascii="Calibri" w:hAnsi="Calibri"/>
          <w:color w:val="1A1A1A"/>
          <w:sz w:val="20"/>
        </w:rPr>
        <w:t xml:space="preserve">          •  HEOR / Value &amp; Access</w:t>
      </w:r>
    </w:p>
    <w:p>
      <w:pPr>
        <w:spacing w:before="0" w:after="20"/>
      </w:pPr>
      <w:r>
        <w:rPr>
          <w:rFonts w:ascii="Calibri" w:hAnsi="Calibri"/>
          <w:color w:val="1A1A1A"/>
          <w:sz w:val="20"/>
        </w:rPr>
        <w:t>•  Observational Study Design &amp; Methods</w:t>
      </w:r>
      <w:r>
        <w:rPr>
          <w:rFonts w:ascii="Calibri" w:hAnsi="Calibri"/>
          <w:color w:val="1A1A1A"/>
          <w:sz w:val="20"/>
        </w:rPr>
        <w:t xml:space="preserve">          •  Publication Strategy &amp; Evidence Dissemination</w:t>
      </w:r>
    </w:p>
    <w:p>
      <w:pPr>
        <w:spacing w:before="0" w:after="20"/>
      </w:pPr>
      <w:r>
        <w:rPr>
          <w:rFonts w:ascii="Calibri" w:hAnsi="Calibri"/>
          <w:color w:val="1A1A1A"/>
          <w:sz w:val="20"/>
        </w:rPr>
        <w:t>•  Cross-functional Leadership (Medical, Commercial, Market Access)</w:t>
      </w:r>
    </w:p>
    <w:p>
      <w:pPr>
        <w:spacing w:before="160" w:after="40"/>
      </w:pPr>
      <w:r>
        <w:rPr>
          <w:rFonts w:ascii="Calibri" w:hAnsi="Calibri"/>
          <w:b/>
          <w:color w:val="0D666E"/>
          <w:sz w:val="22"/>
        </w:rPr>
        <w:t>PROFESSIONAL EXPERIENCE</w:t>
      </w:r>
    </w:p>
    <w:p>
      <w:pPr>
        <w:spacing w:before="40" w:after="40"/>
        <w:pBdr>
          <w:bottom w:val="single" w:sz="6" w:space="1" w:color="0D666E"/>
        </w:pBdr>
      </w:pPr>
    </w:p>
    <w:p>
      <w:pPr>
        <w:spacing w:before="160" w:after="40"/>
      </w:pPr>
      <w:r>
        <w:rPr>
          <w:rFonts w:ascii="Calibri" w:hAnsi="Calibri"/>
          <w:b/>
          <w:color w:val="0D666E"/>
          <w:sz w:val="22"/>
        </w:rPr>
        <w:t>EDUCATION</w:t>
      </w:r>
    </w:p>
    <w:p>
      <w:pPr>
        <w:spacing w:before="40" w:after="40"/>
        <w:pBdr>
          <w:bottom w:val="single" w:sz="6" w:space="1" w:color="0D666E"/>
        </w:pBdr>
      </w:pPr>
    </w:p>
    <w:p>
      <w:pPr>
        <w:spacing w:before="40" w:after="20"/>
      </w:pPr>
      <w:r>
        <w:rPr>
          <w:rFonts w:ascii="Calibri" w:hAnsi="Calibri"/>
          <w:b/>
          <w:color w:val="1A1A1A"/>
          <w:sz w:val="20"/>
        </w:rPr>
        <w:t>Master of Public Health, Biostatistics &amp; Epidemiology</w:t>
      </w:r>
    </w:p>
    <w:p>
      <w:pPr>
        <w:spacing w:before="0" w:after="40"/>
      </w:pPr>
      <w:r>
        <w:rPr>
          <w:rFonts w:ascii="Calibri" w:hAnsi="Calibri"/>
          <w:color w:val="555555"/>
          <w:sz w:val="18"/>
        </w:rPr>
        <w:t>Boston University School of Public Health (2013–2015)</w:t>
      </w:r>
    </w:p>
    <w:p>
      <w:pPr>
        <w:spacing w:before="40" w:after="20"/>
      </w:pPr>
      <w:r>
        <w:rPr>
          <w:rFonts w:ascii="Calibri" w:hAnsi="Calibri"/>
          <w:b/>
          <w:color w:val="1A1A1A"/>
          <w:sz w:val="20"/>
        </w:rPr>
        <w:t>Bachelor of Technology, Chemical Engineering</w:t>
      </w:r>
    </w:p>
    <w:p>
      <w:pPr>
        <w:spacing w:before="0" w:after="40"/>
      </w:pPr>
      <w:r>
        <w:rPr>
          <w:rFonts w:ascii="Calibri" w:hAnsi="Calibri"/>
          <w:color w:val="555555"/>
          <w:sz w:val="18"/>
        </w:rPr>
        <w:t>Anna University, Chennai, India (2009–2013)</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