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RWE/HEOR leader with + years driving evidence generation, value strategy, and publications across biopharma. Experienced building and leading high-performing teams, shaping integrated evidence plans, and partnering with Medical Affairs, Market Access, and Commercial to influence payer and HTA decisions. Targeting Senior Director, HEOR/RWE GI at Revolution Medicines.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HEOR / Value &amp; Access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Observational Study Design &amp; Methods</w:t>
      </w:r>
      <w:r>
        <w:rPr>
          <w:rFonts w:ascii="Calibri" w:hAnsi="Calibri"/>
          <w:color w:val="1A1A1A"/>
          <w:sz w:val="20"/>
        </w:rPr>
        <w:t xml:space="preserve">          •  Publication Strategy &amp; Evidence Dissemination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Leadership (Medical, Commercial, Market Access)</w:t>
      </w:r>
      <w:r>
        <w:rPr>
          <w:rFonts w:ascii="Calibri" w:hAnsi="Calibri"/>
          <w:color w:val="1A1A1A"/>
          <w:sz w:val="20"/>
        </w:rPr>
        <w:t xml:space="preserve">          •  Oncology / GI Portfolio Evidence Planning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