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Strategic real-world evidence and HEOR leader with 10+ years of progressive experience in pharma and biotech, spanning oncology, cardiorenal, immunology therapeutic areas. Currently directing epidemiology and RWE strategy at Kiniksa Pharmaceuticals; previously led global oncology evidence generation at AstraZeneca, including HEOR/RWE strategy for ADC lung cancer programs. Proven track record of leading cross-functional teams, managing external vendor partnerships, and translating real-world data into actionable insights for regulators, payers, and HCPs. Author of 7 peer-reviewed publications with 62+ conference presentations at ISPOR, ASN, and PharmaSUG.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Health Economics and Outcomes Research (HEOR)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Oncology Evidence Generation</w:t>
      </w:r>
      <w:r>
        <w:rPr>
          <w:rFonts w:ascii="Calibri" w:hAnsi="Calibri"/>
          <w:color w:val="1A1A1A"/>
          <w:sz w:val="20"/>
        </w:rPr>
        <w:t xml:space="preserve">          •  Evidence Generation Strategy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Epidemiological Study Design</w:t>
      </w:r>
      <w:r>
        <w:rPr>
          <w:rFonts w:ascii="Calibri" w:hAnsi="Calibri"/>
          <w:color w:val="1A1A1A"/>
          <w:sz w:val="20"/>
        </w:rPr>
        <w:t xml:space="preserve">          •  Economic Modeling &amp; Budget Impact Analysis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Cross-Functional Team Leadership</w:t>
      </w:r>
      <w:r>
        <w:rPr>
          <w:rFonts w:ascii="Calibri" w:hAnsi="Calibri"/>
          <w:color w:val="1A1A1A"/>
          <w:sz w:val="20"/>
        </w:rPr>
        <w:t xml:space="preserve">          •  Payer &amp; HTA Presentations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Regulatory Submissions &amp; AMCP Dossiers</w:t>
      </w:r>
      <w:r>
        <w:rPr>
          <w:rFonts w:ascii="Calibri" w:hAnsi="Calibri"/>
          <w:color w:val="1A1A1A"/>
          <w:sz w:val="20"/>
        </w:rPr>
        <w:t xml:space="preserve">          •  Publication Strategy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Vendor/CRO Management</w:t>
      </w:r>
      <w:r>
        <w:rPr>
          <w:rFonts w:ascii="Calibri" w:hAnsi="Calibri"/>
          <w:color w:val="1A1A1A"/>
          <w:sz w:val="20"/>
        </w:rPr>
        <w:t xml:space="preserve">          •  Competitive Landscape Analysis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 study concepts and execute studies of incidence/prevalence, burden of illness, and natural history of disease for business development and early development indications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Adapt performance metrics and dashboards for RWE projects within cardiology and immunology therapeutic areas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Served as expert on RWE methods and cancer epidemiology for clinical development and commercialization of first-in-class therapeutic agents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specialized recommendations to project execution teams and senior leaders on high-impact project opportunities and risks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Fostered relationships with key alliance counterparts across USMA, GMA, clinical safety, R&amp;D, market access, commercial, and international medical affairs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external engagement as ISPOR Methods Advisory member; provided recommendations on study design methodology for observational studies, HEOR, and epidemiological modeling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IRB submissions and grant proposals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systematic/targeted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SELECT PUBLICATIONS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Kendrick et al. 2022. Serum Phosphorus and Pill Burden Among Hemodialysis Patients Prescribed Sucroferric Oxyhydroxide. International Journal of Nephrology and Renovascular Disease, 15:139-149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Molony, Parameswaran, et al. 2020. Sucroferric Oxyhydroxide as Part of Combination Phosphate Binder Therapy Among Hemodialysis Patients. Kidney360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Coyne, Ficociello, Parameswaran, et al. 2020. Sucroferric Oxyhydroxide in Maintenance Hemodialysis: A Retrospective, Comparative Cohort Study. Kidney Medicine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Kalantar-Zadeh, Ficociello, Parameswaran, et al. 2019. Changes in Serum Albumin and Other Nutritional Markers when Using Sucroferric Oxyhydroxide. BMC Nephrology, 20(1), p.396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Most Valuable Player Award, Fresenius Medical Care Global Marketing Inc. (2021)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Best Paper Award, PharmaSUG Conference, Seattle (2018)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Award for Excellence, Fresenius Medical Care North America (2016, 2019)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