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Claims Data &amp; EMR Analysis</w:t>
      </w:r>
      <w:r>
        <w:rPr>
          <w:rFonts w:ascii="Calibri" w:hAnsi="Calibri"/>
          <w:color w:val="1A1A1A"/>
          <w:sz w:val="20"/>
        </w:rPr>
        <w:t xml:space="preserve">          •  Systematic Literature Review &amp; Meta-Analysis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