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Senior real-world evidence and HEOR executive with 10+ years of progressive experience in pharma and biotech, spanning oncology, cardiorenal, immunology therapeutic areas. Currently directing epidemiology and RWE strategy at Kiniksa Pharmaceuticals; previously led global oncology evidence generation at AstraZeneca, including HEOR/RWE strategy for ADC lung cancer programs. Proven track record of building and leading cross-functional teams, establishing enterprise RWE strategy, and translating real-world data into actionable insights for regulators, payers, and clinicians.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Evidence Generation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Non-Interventional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Claims Data &amp; EMR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  <w:r>
        <w:rPr>
          <w:rFonts w:ascii="Calibri" w:hAnsi="Calibri"/>
          <w:color w:val="1A1A1A"/>
          <w:sz w:val="20"/>
        </w:rPr>
        <w:t xml:space="preserve">          •  Global RWE Strategy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