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Economic Modeling &amp; Budget Impact Analysis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