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1A1A"/>
          <w:sz w:val="44"/>
        </w:rPr>
        <w:t>Vidhya Parameswaran</w:t>
      </w:r>
    </w:p>
    <w:p>
      <w:pPr>
        <w:spacing w:before="0" w:after="0"/>
        <w:jc w:val="center"/>
      </w:pPr>
      <w:r>
        <w:rPr>
          <w:rFonts w:ascii="Calibri" w:hAnsi="Calibri"/>
          <w:color w:val="555555"/>
          <w:sz w:val="18"/>
        </w:rPr>
        <w:t>Lexington, MA  |  617-460-6535  |  vidhya9102@gmail.com  |  https://www.linkedin.com/in/vidhya-parameswaran/</w:t>
      </w:r>
    </w:p>
    <w:p>
      <w:pPr>
        <w:spacing w:before="40" w:after="40"/>
        <w:pBdr>
          <w:bottom w:val="single" w:sz="6" w:space="1" w:color="0D666E"/>
        </w:pBdr>
      </w:pPr>
    </w:p>
    <w:p>
      <w:pPr>
        <w:spacing w:before="160" w:after="40"/>
      </w:pPr>
      <w:r>
        <w:rPr>
          <w:rFonts w:ascii="Calibri" w:hAnsi="Calibri"/>
          <w:b/>
          <w:color w:val="0D666E"/>
          <w:sz w:val="22"/>
        </w:rPr>
        <w:t>PROFESSIONAL SUMMARY</w:t>
      </w:r>
    </w:p>
    <w:p>
      <w:pPr>
        <w:spacing w:before="40" w:after="40"/>
        <w:pBdr>
          <w:bottom w:val="single" w:sz="6" w:space="1" w:color="0D666E"/>
        </w:pBdr>
      </w:pPr>
    </w:p>
    <w:p>
      <w:pPr>
        <w:spacing w:before="40" w:after="80" w:line="280" w:lineRule="exact"/>
      </w:pPr>
      <w:r>
        <w:rPr>
          <w:rFonts w:ascii="Calibri" w:hAnsi="Calibri"/>
          <w:color w:val="1A1A1A"/>
          <w:sz w:val="20"/>
        </w:rPr>
        <w:t>Senior HEOR / RWE leader with 10+ years of experience designing and executing global evidence-generation strategies across medical affairs, market access, and clinical development. Deep expertise in pharmacoepidemiology, observational study design, real-world data platforms (claims/EMR), and payer-relevant outcomes research, with leadership roles spanning biotech (Kiniksa) and global pharma (AstraZeneca). Proven track record translating evidence gaps into actionable HEOR roadmaps, engaging external scientific leaders, and delivering publications and 62+ conference presentations to support reimbursement, regulatory, and stakeholder decision-making.</w:t>
      </w:r>
    </w:p>
    <w:p>
      <w:pPr>
        <w:spacing w:before="160" w:after="40"/>
      </w:pPr>
      <w:r>
        <w:rPr>
          <w:rFonts w:ascii="Calibri" w:hAnsi="Calibri"/>
          <w:b/>
          <w:color w:val="0D666E"/>
          <w:sz w:val="22"/>
        </w:rPr>
        <w:t>CORE COMPETENCIES</w:t>
      </w:r>
    </w:p>
    <w:p>
      <w:pPr>
        <w:spacing w:before="40" w:after="40"/>
        <w:pBdr>
          <w:bottom w:val="single" w:sz="6" w:space="1" w:color="0D666E"/>
        </w:pBdr>
      </w:pPr>
    </w:p>
    <w:p>
      <w:pPr>
        <w:spacing w:before="0" w:after="20"/>
      </w:pPr>
      <w:r>
        <w:rPr>
          <w:rFonts w:ascii="Calibri" w:hAnsi="Calibri"/>
          <w:color w:val="1A1A1A"/>
          <w:sz w:val="20"/>
        </w:rPr>
        <w:t>•  Global HEOR &amp; Evidence Generation Strategy</w:t>
      </w:r>
      <w:r>
        <w:rPr>
          <w:rFonts w:ascii="Calibri" w:hAnsi="Calibri"/>
          <w:color w:val="1A1A1A"/>
          <w:sz w:val="20"/>
        </w:rPr>
        <w:t xml:space="preserve">          •  Real-World Evidence (RWE) / Pharmacoepidemiology</w:t>
      </w:r>
    </w:p>
    <w:p>
      <w:pPr>
        <w:spacing w:before="0" w:after="20"/>
      </w:pPr>
      <w:r>
        <w:rPr>
          <w:rFonts w:ascii="Calibri" w:hAnsi="Calibri"/>
          <w:color w:val="1A1A1A"/>
          <w:sz w:val="20"/>
        </w:rPr>
        <w:t>•  Observational Study Design (Retrospective/Prospective)</w:t>
      </w:r>
      <w:r>
        <w:rPr>
          <w:rFonts w:ascii="Calibri" w:hAnsi="Calibri"/>
          <w:color w:val="1A1A1A"/>
          <w:sz w:val="20"/>
        </w:rPr>
        <w:t xml:space="preserve">          •  Claims &amp; EMR Data (IQVIA, MarketScan/Truven, Aetion)</w:t>
      </w:r>
    </w:p>
    <w:p>
      <w:pPr>
        <w:spacing w:before="0" w:after="20"/>
      </w:pPr>
      <w:r>
        <w:rPr>
          <w:rFonts w:ascii="Calibri" w:hAnsi="Calibri"/>
          <w:color w:val="1A1A1A"/>
          <w:sz w:val="20"/>
        </w:rPr>
        <w:t>•  Burden of Illness / Natural History / Registries</w:t>
      </w:r>
      <w:r>
        <w:rPr>
          <w:rFonts w:ascii="Calibri" w:hAnsi="Calibri"/>
          <w:color w:val="1A1A1A"/>
          <w:sz w:val="20"/>
        </w:rPr>
        <w:t xml:space="preserve">          •  Comparative Effectiveness &amp; Causal Inference</w:t>
      </w:r>
    </w:p>
    <w:p>
      <w:pPr>
        <w:spacing w:before="0" w:after="20"/>
      </w:pPr>
      <w:r>
        <w:rPr>
          <w:rFonts w:ascii="Calibri" w:hAnsi="Calibri"/>
          <w:color w:val="1A1A1A"/>
          <w:sz w:val="20"/>
        </w:rPr>
        <w:t>•  Systematic Literature Reviews / Meta-Analysis / NMA</w:t>
      </w:r>
      <w:r>
        <w:rPr>
          <w:rFonts w:ascii="Calibri" w:hAnsi="Calibri"/>
          <w:color w:val="1A1A1A"/>
          <w:sz w:val="20"/>
        </w:rPr>
        <w:t xml:space="preserve">          •  Payer &amp; Medical Affairs Insights (US/Global)</w:t>
      </w:r>
    </w:p>
    <w:p>
      <w:pPr>
        <w:spacing w:before="0" w:after="20"/>
      </w:pPr>
      <w:r>
        <w:rPr>
          <w:rFonts w:ascii="Calibri" w:hAnsi="Calibri"/>
          <w:color w:val="1A1A1A"/>
          <w:sz w:val="20"/>
        </w:rPr>
        <w:t>•  Scientific Communications (Publications, Congress)</w:t>
      </w:r>
      <w:r>
        <w:rPr>
          <w:rFonts w:ascii="Calibri" w:hAnsi="Calibri"/>
          <w:color w:val="1A1A1A"/>
          <w:sz w:val="20"/>
        </w:rPr>
        <w:t xml:space="preserve">          •  Cross-Functional Leadership &amp; Vendor Management</w:t>
      </w:r>
    </w:p>
    <w:p>
      <w:pPr>
        <w:spacing w:before="160" w:after="40"/>
      </w:pPr>
      <w:r>
        <w:rPr>
          <w:rFonts w:ascii="Calibri" w:hAnsi="Calibri"/>
          <w:b/>
          <w:color w:val="0D666E"/>
          <w:sz w:val="22"/>
        </w:rPr>
        <w:t>PROFESSIONAL EXPERIENCE</w:t>
      </w:r>
    </w:p>
    <w:p>
      <w:pPr>
        <w:spacing w:before="40" w:after="40"/>
        <w:pBdr>
          <w:bottom w:val="single" w:sz="6" w:space="1" w:color="0D666E"/>
        </w:pBdr>
      </w:pPr>
    </w:p>
    <w:p>
      <w:pPr>
        <w:spacing w:before="120" w:after="20"/>
      </w:pPr>
      <w:r>
        <w:rPr>
          <w:rFonts w:ascii="Calibri" w:hAnsi="Calibri"/>
          <w:b/>
          <w:color w:val="1A1A1A"/>
          <w:sz w:val="20"/>
        </w:rPr>
        <w:t>Director, Medical Affairs — Epidemiology &amp; RWE</w:t>
      </w:r>
      <w:r>
        <w:rPr>
          <w:rFonts w:ascii="Calibri" w:hAnsi="Calibri"/>
          <w:color w:val="555555"/>
          <w:sz w:val="20"/>
        </w:rPr>
        <w:t xml:space="preserve"> | </w:t>
      </w:r>
      <w:r>
        <w:rPr>
          <w:rFonts w:ascii="Calibri" w:hAnsi="Calibri"/>
          <w:color w:val="1A1A1A"/>
          <w:sz w:val="20"/>
        </w:rPr>
        <w:t>Kiniksa Pharmaceuticals</w:t>
      </w:r>
    </w:p>
    <w:p>
      <w:pPr>
        <w:spacing w:before="0" w:after="40"/>
      </w:pPr>
      <w:r>
        <w:rPr>
          <w:rFonts w:ascii="Calibri" w:hAnsi="Calibri"/>
          <w:i/>
          <w:color w:val="555555"/>
          <w:sz w:val="18"/>
        </w:rPr>
        <w:t>Jul 2023 – Present</w:t>
      </w:r>
    </w:p>
    <w:p>
      <w:pPr>
        <w:pStyle w:val="ListBullet"/>
        <w:spacing w:before="0" w:after="20" w:line="260" w:lineRule="exact"/>
      </w:pPr>
      <w:r>
        <w:rPr>
          <w:rFonts w:ascii="Calibri" w:hAnsi="Calibri"/>
          <w:color w:val="1A1A1A"/>
          <w:sz w:val="20"/>
        </w:rPr>
        <w:t>Own epidemiology/RWE evidence plans across cardiology and immunology portfolios; translate evidence gaps into prioritized studies (incidence/prevalence, burden of illness, natural history) for medical affairs and development decisions.</w:t>
      </w:r>
    </w:p>
    <w:p>
      <w:pPr>
        <w:pStyle w:val="ListBullet"/>
        <w:spacing w:before="0" w:after="20" w:line="260" w:lineRule="exact"/>
      </w:pPr>
      <w:r>
        <w:rPr>
          <w:rFonts w:ascii="Calibri" w:hAnsi="Calibri"/>
          <w:color w:val="1A1A1A"/>
          <w:sz w:val="20"/>
        </w:rPr>
        <w:t>Lead cross-functional observational research strategy spanning registries and real-world data; align on endpoints and analytic approaches for regulators, payers, and clinicians.</w:t>
      </w:r>
    </w:p>
    <w:p>
      <w:pPr>
        <w:pStyle w:val="ListBullet"/>
        <w:spacing w:before="0" w:after="20" w:line="260" w:lineRule="exact"/>
      </w:pPr>
      <w:r>
        <w:rPr>
          <w:rFonts w:ascii="Calibri" w:hAnsi="Calibri"/>
          <w:color w:val="1A1A1A"/>
          <w:sz w:val="20"/>
        </w:rPr>
        <w:t>Evaluate and operationalize real-world data assets (claims/EMR platforms and external data licenses); develop data plans and governance for scalable evidence generation.</w:t>
      </w:r>
    </w:p>
    <w:p>
      <w:pPr>
        <w:pStyle w:val="ListBullet"/>
        <w:spacing w:before="0" w:after="20" w:line="260" w:lineRule="exact"/>
      </w:pPr>
      <w:r>
        <w:rPr>
          <w:rFonts w:ascii="Calibri" w:hAnsi="Calibri"/>
          <w:color w:val="1A1A1A"/>
          <w:sz w:val="20"/>
        </w:rPr>
        <w:t>Implement innovative analytic methods and dashboards to track RWE project execution and performance metrics; drive stakeholder transparency and decision speed.</w:t>
      </w:r>
    </w:p>
    <w:p>
      <w:pPr>
        <w:pStyle w:val="ListBullet"/>
        <w:spacing w:before="0" w:after="20" w:line="260" w:lineRule="exact"/>
      </w:pPr>
      <w:r>
        <w:rPr>
          <w:rFonts w:ascii="Calibri" w:hAnsi="Calibri"/>
          <w:color w:val="1A1A1A"/>
          <w:sz w:val="20"/>
        </w:rPr>
        <w:t>Serve as core member of non-interventional study protocol review groups; ensure methodological rigor and feasibility for global execution.</w:t>
      </w:r>
    </w:p>
    <w:p>
      <w:pPr>
        <w:spacing w:before="120" w:after="20"/>
      </w:pPr>
      <w:r>
        <w:rPr>
          <w:rFonts w:ascii="Calibri" w:hAnsi="Calibri"/>
          <w:b/>
          <w:color w:val="1A1A1A"/>
          <w:sz w:val="20"/>
        </w:rPr>
        <w:t>Associate Director, Oncology Outcomes Research</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2023 – Jul 2023</w:t>
      </w:r>
    </w:p>
    <w:p>
      <w:pPr>
        <w:pStyle w:val="ListBullet"/>
        <w:spacing w:before="0" w:after="20" w:line="260" w:lineRule="exact"/>
      </w:pPr>
      <w:r>
        <w:rPr>
          <w:rFonts w:ascii="Calibri" w:hAnsi="Calibri"/>
          <w:color w:val="1A1A1A"/>
          <w:sz w:val="20"/>
        </w:rPr>
        <w:t>Led global evidence generation strategy for ADC lung cancer portfolio; designed HEOR/RWE studies to inform medical affairs and access strategy.</w:t>
      </w:r>
    </w:p>
    <w:p>
      <w:pPr>
        <w:pStyle w:val="ListBullet"/>
        <w:spacing w:before="0" w:after="20" w:line="260" w:lineRule="exact"/>
      </w:pPr>
      <w:r>
        <w:rPr>
          <w:rFonts w:ascii="Calibri" w:hAnsi="Calibri"/>
          <w:color w:val="1A1A1A"/>
          <w:sz w:val="20"/>
        </w:rPr>
        <w:t>Directed design, execution, analysis, and communication of observational studies; advised senior leaders on high-impact opportunities and key risks.</w:t>
      </w:r>
    </w:p>
    <w:p>
      <w:pPr>
        <w:pStyle w:val="ListBullet"/>
        <w:spacing w:before="0" w:after="20" w:line="260" w:lineRule="exact"/>
      </w:pPr>
      <w:r>
        <w:rPr>
          <w:rFonts w:ascii="Calibri" w:hAnsi="Calibri"/>
          <w:color w:val="1A1A1A"/>
          <w:sz w:val="20"/>
        </w:rPr>
        <w:t>Built partnerships across GMA/USMA, market access, commercial, safety, and R&amp;D to ensure evidence plans addressed stakeholder and payer needs.</w:t>
      </w:r>
    </w:p>
    <w:p>
      <w:pPr>
        <w:spacing w:before="120" w:after="20"/>
      </w:pPr>
      <w:r>
        <w:rPr>
          <w:rFonts w:ascii="Calibri" w:hAnsi="Calibri"/>
          <w:b/>
          <w:color w:val="1A1A1A"/>
          <w:sz w:val="20"/>
        </w:rPr>
        <w:t>Associate Director, Global Real World Evidence Strategy</w:t>
      </w:r>
      <w:r>
        <w:rPr>
          <w:rFonts w:ascii="Calibri" w:hAnsi="Calibri"/>
          <w:color w:val="555555"/>
          <w:sz w:val="20"/>
        </w:rPr>
        <w:t xml:space="preserve"> | </w:t>
      </w:r>
      <w:r>
        <w:rPr>
          <w:rFonts w:ascii="Calibri" w:hAnsi="Calibri"/>
          <w:color w:val="1A1A1A"/>
          <w:sz w:val="20"/>
        </w:rPr>
        <w:t>AstraZeneca</w:t>
      </w:r>
    </w:p>
    <w:p>
      <w:pPr>
        <w:spacing w:before="0" w:after="40"/>
      </w:pPr>
      <w:r>
        <w:rPr>
          <w:rFonts w:ascii="Calibri" w:hAnsi="Calibri"/>
          <w:i/>
          <w:color w:val="555555"/>
          <w:sz w:val="18"/>
        </w:rPr>
        <w:t>Jan 2022 – Jan 2023</w:t>
      </w:r>
    </w:p>
    <w:p>
      <w:pPr>
        <w:pStyle w:val="ListBullet"/>
        <w:spacing w:before="0" w:after="20" w:line="260" w:lineRule="exact"/>
      </w:pPr>
      <w:r>
        <w:rPr>
          <w:rFonts w:ascii="Calibri" w:hAnsi="Calibri"/>
          <w:color w:val="1A1A1A"/>
          <w:sz w:val="20"/>
        </w:rPr>
        <w:t>Created and prioritized patient-centric medical evidence strategies; mapped evidence gaps and developed research roadmaps spanning HEOR, RWE, and epidemiologic modeling.</w:t>
      </w:r>
    </w:p>
    <w:p>
      <w:pPr>
        <w:pStyle w:val="ListBullet"/>
        <w:spacing w:before="0" w:after="20" w:line="260" w:lineRule="exact"/>
      </w:pPr>
      <w:r>
        <w:rPr>
          <w:rFonts w:ascii="Calibri" w:hAnsi="Calibri"/>
          <w:color w:val="1A1A1A"/>
          <w:sz w:val="20"/>
        </w:rPr>
        <w:t>Served as ISPOR Methods Advisory member; provided methodological recommendations on observational study design and HEOR approaches with external stakeholders.</w:t>
      </w:r>
    </w:p>
    <w:p>
      <w:pPr>
        <w:pStyle w:val="ListBullet"/>
        <w:spacing w:before="0" w:after="20" w:line="260" w:lineRule="exact"/>
      </w:pPr>
      <w:r>
        <w:rPr>
          <w:rFonts w:ascii="Calibri" w:hAnsi="Calibri"/>
          <w:color w:val="1A1A1A"/>
          <w:sz w:val="20"/>
        </w:rPr>
        <w:t>Maintained deep knowledge of market dynamics, competitive landscape, and reimbursement considerations to inform evidence strategy.</w:t>
      </w:r>
    </w:p>
    <w:p>
      <w:pPr>
        <w:spacing w:before="120" w:after="20"/>
      </w:pPr>
      <w:r>
        <w:rPr>
          <w:rFonts w:ascii="Calibri" w:hAnsi="Calibri"/>
          <w:b/>
          <w:color w:val="1A1A1A"/>
          <w:sz w:val="20"/>
        </w:rPr>
        <w:t>Senior Epidemiologist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Nov 2019 – Dec 2021</w:t>
      </w:r>
    </w:p>
    <w:p>
      <w:pPr>
        <w:pStyle w:val="ListBullet"/>
        <w:spacing w:before="0" w:after="20" w:line="260" w:lineRule="exact"/>
      </w:pPr>
      <w:r>
        <w:rPr>
          <w:rFonts w:ascii="Calibri" w:hAnsi="Calibri"/>
          <w:color w:val="1A1A1A"/>
          <w:sz w:val="20"/>
        </w:rPr>
        <w:t>Generated real-world evidence supporting pre- and post-launch strategy for cardiorenal products; developed protocols and SAPs for registries, claims, and EMR studies.</w:t>
      </w:r>
    </w:p>
    <w:p>
      <w:pPr>
        <w:pStyle w:val="ListBullet"/>
        <w:spacing w:before="0" w:after="20" w:line="260" w:lineRule="exact"/>
      </w:pPr>
      <w:r>
        <w:rPr>
          <w:rFonts w:ascii="Calibri" w:hAnsi="Calibri"/>
          <w:color w:val="1A1A1A"/>
          <w:sz w:val="20"/>
        </w:rPr>
        <w:t>Led payer/HCP-facing evidence readouts and advisory board presentations; translated complex analyses into actionable medical and access insights.</w:t>
      </w:r>
    </w:p>
    <w:p>
      <w:pPr>
        <w:pStyle w:val="ListBullet"/>
        <w:spacing w:before="0" w:after="20" w:line="260" w:lineRule="exact"/>
      </w:pPr>
      <w:r>
        <w:rPr>
          <w:rFonts w:ascii="Calibri" w:hAnsi="Calibri"/>
          <w:color w:val="1A1A1A"/>
          <w:sz w:val="20"/>
        </w:rPr>
        <w:t>Managed and mentored a small team (interns/analyst); guided SAS/R programming, causal inference approaches, and large database research.</w:t>
      </w:r>
    </w:p>
    <w:p>
      <w:pPr>
        <w:spacing w:before="120" w:after="20"/>
      </w:pPr>
      <w:r>
        <w:rPr>
          <w:rFonts w:ascii="Calibri" w:hAnsi="Calibri"/>
          <w:b/>
          <w:color w:val="1A1A1A"/>
          <w:sz w:val="20"/>
        </w:rPr>
        <w:t>Epidemiologist</w:t>
      </w:r>
      <w:r>
        <w:rPr>
          <w:rFonts w:ascii="Calibri" w:hAnsi="Calibri"/>
          <w:color w:val="555555"/>
          <w:sz w:val="20"/>
        </w:rPr>
        <w:t xml:space="preserve"> | </w:t>
      </w:r>
      <w:r>
        <w:rPr>
          <w:rFonts w:ascii="Calibri" w:hAnsi="Calibri"/>
          <w:color w:val="1A1A1A"/>
          <w:sz w:val="20"/>
        </w:rPr>
        <w:t>Fresenius Medical Care Canada</w:t>
      </w:r>
    </w:p>
    <w:p>
      <w:pPr>
        <w:spacing w:before="0" w:after="40"/>
      </w:pPr>
      <w:r>
        <w:rPr>
          <w:rFonts w:ascii="Calibri" w:hAnsi="Calibri"/>
          <w:i/>
          <w:color w:val="555555"/>
          <w:sz w:val="18"/>
        </w:rPr>
        <w:t>Feb 2018 – Oct 2019</w:t>
      </w:r>
    </w:p>
    <w:p>
      <w:pPr>
        <w:pStyle w:val="ListBullet"/>
        <w:spacing w:before="0" w:after="20" w:line="260" w:lineRule="exact"/>
      </w:pPr>
      <w:r>
        <w:rPr>
          <w:rFonts w:ascii="Calibri" w:hAnsi="Calibri"/>
          <w:color w:val="1A1A1A"/>
          <w:sz w:val="20"/>
        </w:rPr>
        <w:t>Delivered systematic literature reviews and meta-analyses supporting regulatory submissions; developed sample size and analytic plans for observational studies and economic models.</w:t>
      </w:r>
    </w:p>
    <w:p>
      <w:pPr>
        <w:pStyle w:val="ListBullet"/>
        <w:spacing w:before="0" w:after="20" w:line="260" w:lineRule="exact"/>
      </w:pPr>
      <w:r>
        <w:rPr>
          <w:rFonts w:ascii="Calibri" w:hAnsi="Calibri"/>
          <w:color w:val="1A1A1A"/>
          <w:sz w:val="20"/>
        </w:rPr>
        <w:t>Partnered with CROs and vendors (IQVIA, Evidera, IBM Truven, Aetion) to execute evidence generation under tight timelines.</w:t>
      </w:r>
    </w:p>
    <w:p>
      <w:pPr>
        <w:spacing w:before="120" w:after="20"/>
      </w:pPr>
      <w:r>
        <w:rPr>
          <w:rFonts w:ascii="Calibri" w:hAnsi="Calibri"/>
          <w:b/>
          <w:color w:val="1A1A1A"/>
          <w:sz w:val="20"/>
        </w:rPr>
        <w:t>Evidence-Based Medical Analyst</w:t>
      </w:r>
      <w:r>
        <w:rPr>
          <w:rFonts w:ascii="Calibri" w:hAnsi="Calibri"/>
          <w:color w:val="555555"/>
          <w:sz w:val="20"/>
        </w:rPr>
        <w:t xml:space="preserve"> | </w:t>
      </w:r>
      <w:r>
        <w:rPr>
          <w:rFonts w:ascii="Calibri" w:hAnsi="Calibri"/>
          <w:color w:val="1A1A1A"/>
          <w:sz w:val="20"/>
        </w:rPr>
        <w:t>Fresenius Medical Care North America</w:t>
      </w:r>
    </w:p>
    <w:p>
      <w:pPr>
        <w:spacing w:before="0" w:after="40"/>
      </w:pPr>
      <w:r>
        <w:rPr>
          <w:rFonts w:ascii="Calibri" w:hAnsi="Calibri"/>
          <w:i/>
          <w:color w:val="555555"/>
          <w:sz w:val="18"/>
        </w:rPr>
        <w:t>Feb 2015 – Jan 2018</w:t>
      </w:r>
    </w:p>
    <w:p>
      <w:pPr>
        <w:pStyle w:val="ListBullet"/>
        <w:spacing w:before="0" w:after="20" w:line="260" w:lineRule="exact"/>
      </w:pPr>
      <w:r>
        <w:rPr>
          <w:rFonts w:ascii="Calibri" w:hAnsi="Calibri"/>
          <w:color w:val="1A1A1A"/>
          <w:sz w:val="20"/>
        </w:rPr>
        <w:t>Conducted comparative effectiveness research and supported AMCP dossiers; produced scientific manuscripts, research reports, and congress materials.</w:t>
      </w:r>
    </w:p>
    <w:p>
      <w:pPr>
        <w:pStyle w:val="ListBullet"/>
        <w:spacing w:before="0" w:after="20" w:line="260" w:lineRule="exact"/>
      </w:pPr>
      <w:r>
        <w:rPr>
          <w:rFonts w:ascii="Calibri" w:hAnsi="Calibri"/>
          <w:color w:val="1A1A1A"/>
          <w:sz w:val="20"/>
        </w:rPr>
        <w:t>Developed pharmacoepidemiologic dashboards to monitor safety and effectiveness in real-world settings.</w:t>
      </w:r>
    </w:p>
    <w:p>
      <w:pPr>
        <w:spacing w:before="160" w:after="40"/>
      </w:pPr>
      <w:r>
        <w:rPr>
          <w:rFonts w:ascii="Calibri" w:hAnsi="Calibri"/>
          <w:b/>
          <w:color w:val="0D666E"/>
          <w:sz w:val="22"/>
        </w:rPr>
        <w:t>EDUCATION</w:t>
      </w:r>
    </w:p>
    <w:p>
      <w:pPr>
        <w:spacing w:before="40" w:after="40"/>
        <w:pBdr>
          <w:bottom w:val="single" w:sz="6" w:space="1" w:color="0D666E"/>
        </w:pBdr>
      </w:pPr>
    </w:p>
    <w:p>
      <w:pPr>
        <w:spacing w:before="40" w:after="20"/>
      </w:pPr>
      <w:r>
        <w:rPr>
          <w:rFonts w:ascii="Calibri" w:hAnsi="Calibri"/>
          <w:b/>
          <w:color w:val="1A1A1A"/>
          <w:sz w:val="20"/>
        </w:rPr>
        <w:t>Master of Public Health, Biostatistics &amp; Epidemiology</w:t>
      </w:r>
    </w:p>
    <w:p>
      <w:pPr>
        <w:spacing w:before="0" w:after="40"/>
      </w:pPr>
      <w:r>
        <w:rPr>
          <w:rFonts w:ascii="Calibri" w:hAnsi="Calibri"/>
          <w:color w:val="555555"/>
          <w:sz w:val="18"/>
        </w:rPr>
        <w:t>Boston University School of Public Health (2013–2015)</w:t>
      </w:r>
    </w:p>
    <w:p>
      <w:pPr>
        <w:spacing w:before="40" w:after="20"/>
      </w:pPr>
      <w:r>
        <w:rPr>
          <w:rFonts w:ascii="Calibri" w:hAnsi="Calibri"/>
          <w:b/>
          <w:color w:val="1A1A1A"/>
          <w:sz w:val="20"/>
        </w:rPr>
        <w:t>Bachelor of Technology, Chemical Engineering</w:t>
      </w:r>
    </w:p>
    <w:p>
      <w:pPr>
        <w:spacing w:before="0" w:after="40"/>
      </w:pPr>
      <w:r>
        <w:rPr>
          <w:rFonts w:ascii="Calibri" w:hAnsi="Calibri"/>
          <w:color w:val="555555"/>
          <w:sz w:val="18"/>
        </w:rPr>
        <w:t>Anna University, Chennai, India (2009–2013)</w:t>
      </w:r>
    </w:p>
    <w:p>
      <w:pPr>
        <w:spacing w:before="160" w:after="40"/>
      </w:pPr>
      <w:r>
        <w:rPr>
          <w:rFonts w:ascii="Calibri" w:hAnsi="Calibri"/>
          <w:b/>
          <w:color w:val="0D666E"/>
          <w:sz w:val="22"/>
        </w:rPr>
        <w:t>SELECT PUBLICATIONS</w:t>
      </w:r>
    </w:p>
    <w:p>
      <w:pPr>
        <w:spacing w:before="40" w:after="40"/>
        <w:pBdr>
          <w:bottom w:val="single" w:sz="6" w:space="1" w:color="0D666E"/>
        </w:pBdr>
      </w:pPr>
    </w:p>
    <w:p>
      <w:pPr>
        <w:spacing w:before="0" w:after="40" w:line="240" w:lineRule="exact"/>
      </w:pPr>
      <w:r>
        <w:rPr>
          <w:rFonts w:ascii="Calibri" w:hAnsi="Calibri"/>
          <w:color w:val="555555"/>
          <w:sz w:val="17"/>
        </w:rPr>
        <w:t>Kendrick et al. 2022. Serum Phosphorus and Pill Burden Among Hemodialysis Patients Prescribed Sucroferric Oxyhydroxide. International Journal of Nephrology and Renovascular Disease, 15:139-149</w:t>
      </w:r>
    </w:p>
    <w:p>
      <w:pPr>
        <w:spacing w:before="0" w:after="40" w:line="240" w:lineRule="exact"/>
      </w:pPr>
      <w:r>
        <w:rPr>
          <w:rFonts w:ascii="Calibri" w:hAnsi="Calibri"/>
          <w:color w:val="555555"/>
          <w:sz w:val="17"/>
        </w:rPr>
        <w:t>Molony, Parameswaran, et al. 2020. Sucroferric Oxyhydroxide as Part of Combination Phosphate Binder Therapy Among Hemodialysis Patients. Kidney360</w:t>
      </w:r>
    </w:p>
    <w:p>
      <w:pPr>
        <w:spacing w:before="0" w:after="40" w:line="240" w:lineRule="exact"/>
      </w:pPr>
      <w:r>
        <w:rPr>
          <w:rFonts w:ascii="Calibri" w:hAnsi="Calibri"/>
          <w:color w:val="555555"/>
          <w:sz w:val="17"/>
        </w:rPr>
        <w:t>Coyne, Ficociello, Parameswaran, et al. 2020. Sucroferric Oxyhydroxide in Maintenance Hemodialysis: A Retrospective, Comparative Cohort Study. Kidney Medicine</w:t>
      </w:r>
    </w:p>
    <w:p>
      <w:pPr>
        <w:spacing w:before="160" w:after="40"/>
      </w:pPr>
      <w:r>
        <w:rPr>
          <w:rFonts w:ascii="Calibri" w:hAnsi="Calibri"/>
          <w:b/>
          <w:color w:val="0D666E"/>
          <w:sz w:val="22"/>
        </w:rPr>
        <w:t>AWARDS &amp; RECOGNITION</w:t>
      </w:r>
    </w:p>
    <w:p>
      <w:pPr>
        <w:spacing w:before="40" w:after="40"/>
        <w:pBdr>
          <w:bottom w:val="single" w:sz="6" w:space="1" w:color="0D666E"/>
        </w:pBdr>
      </w:pPr>
    </w:p>
    <w:p>
      <w:pPr>
        <w:spacing w:before="0" w:after="20"/>
      </w:pPr>
      <w:r>
        <w:rPr>
          <w:rFonts w:ascii="Calibri" w:hAnsi="Calibri"/>
          <w:color w:val="1A1A1A"/>
          <w:sz w:val="20"/>
        </w:rPr>
        <w:t>•  Most Valuable Player Award, Fresenius Medical Care Global Marketing Inc. (2021)</w:t>
      </w:r>
    </w:p>
    <w:p>
      <w:pPr>
        <w:spacing w:before="0" w:after="20"/>
      </w:pPr>
      <w:r>
        <w:rPr>
          <w:rFonts w:ascii="Calibri" w:hAnsi="Calibri"/>
          <w:color w:val="1A1A1A"/>
          <w:sz w:val="20"/>
        </w:rPr>
        <w:t>•  Award for Excellence, Fresenius Medical Care North America (2016, 2019)</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