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Medical Affairs Strategy</w:t>
      </w:r>
      <w:r>
        <w:rPr>
          <w:rFonts w:ascii="Calibri" w:hAnsi="Calibri"/>
          <w:color w:val="1A1A1A"/>
          <w:sz w:val="20"/>
        </w:rPr>
        <w:t xml:space="preserve">          •  Regulatory Submissions &amp; AMCP Dossiers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