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Systematic Literature Review &amp; Meta-Analysis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Global RWE Strategy</w:t>
      </w:r>
      <w:r>
        <w:rPr>
          <w:rFonts w:ascii="Calibri" w:hAnsi="Calibri"/>
          <w:color w:val="1A1A1A"/>
          <w:sz w:val="20"/>
        </w:rPr>
        <w:t xml:space="preserve">          •  Competitive Landscape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