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RWE/HEOR leader with + years driving evidence generation, value strategy, and publications across biopharma. Experienced building and leading high-performing teams, shaping integrated evidence plans, and partnering with Medical Affairs, Market Access, and Commercial to influence payer and HTA decisions. Targeting Director HEOR Strategy Aesthetics at AbbVie.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HEOR / Value &amp; Access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Observational Study Design &amp; Methods</w:t>
      </w:r>
      <w:r>
        <w:rPr>
          <w:rFonts w:ascii="Calibri" w:hAnsi="Calibri"/>
          <w:color w:val="1A1A1A"/>
          <w:sz w:val="20"/>
        </w:rPr>
        <w:t xml:space="preserve">          •  Publication Strategy &amp; Evidence Dissemination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Leadership (Medical, Commercial, Market Access)</w:t>
      </w:r>
      <w:r>
        <w:rPr>
          <w:rFonts w:ascii="Calibri" w:hAnsi="Calibri"/>
          <w:color w:val="1A1A1A"/>
          <w:sz w:val="20"/>
        </w:rPr>
        <w:t xml:space="preserve">          •  Lifecycle Evidence for Specialty / Aesthetics Brands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epidemiological databases and methods; led data presentations to payers and HCPs at advisory board meetings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CROs and external vendors (Aetion, IQVIA, Evidera, IBM Truven)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Trained junior scientists on Canadian kidney registry analysis and real-time data visualization using SAS, Tableau, and Adobe Creative Cloud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Prepared AMCP dossiers for FDA regulatory submissions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pharmacoepidemiologic dashboards to monitor safety and efficacy of marketed renal therapies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