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A1A1A"/>
          <w:sz w:val="44"/>
        </w:rPr>
        <w:t>Vidhya Parameswaran</w:t>
      </w:r>
    </w:p>
    <w:p>
      <w:pPr>
        <w:spacing w:before="0" w:after="0"/>
        <w:jc w:val="center"/>
      </w:pPr>
      <w:r>
        <w:rPr>
          <w:rFonts w:ascii="Calibri" w:hAnsi="Calibri"/>
          <w:color w:val="555555"/>
          <w:sz w:val="18"/>
        </w:rPr>
        <w:t>Lexington, MA  |  617-460-6535  |  vidhya9102@gmail.com  |  https://www.linkedin.com/in/vidhya-parameswaran/</w:t>
      </w:r>
    </w:p>
    <w:p>
      <w:pPr>
        <w:spacing w:before="40" w:after="40"/>
        <w:pBdr>
          <w:bottom w:val="single" w:sz="6" w:space="1" w:color="0D666E"/>
        </w:pBdr>
      </w:pPr>
    </w:p>
    <w:p>
      <w:pPr>
        <w:spacing w:before="160" w:after="40"/>
      </w:pPr>
      <w:r>
        <w:rPr>
          <w:rFonts w:ascii="Calibri" w:hAnsi="Calibri"/>
          <w:b/>
          <w:color w:val="0D666E"/>
          <w:sz w:val="22"/>
        </w:rPr>
        <w:t>PROFESSIONAL SUMMARY</w:t>
      </w:r>
    </w:p>
    <w:p>
      <w:pPr>
        <w:spacing w:before="40" w:after="40"/>
        <w:pBdr>
          <w:bottom w:val="single" w:sz="6" w:space="1" w:color="0D666E"/>
        </w:pBdr>
      </w:pPr>
    </w:p>
    <w:p>
      <w:pPr>
        <w:spacing w:before="40" w:after="80" w:line="280" w:lineRule="exact"/>
      </w:pPr>
      <w:r>
        <w:rPr>
          <w:rFonts w:ascii="Calibri" w:hAnsi="Calibri"/>
          <w:color w:val="1A1A1A"/>
          <w:sz w:val="20"/>
        </w:rPr>
        <w:t>RWE/HEOR leader with + years driving evidence generation, value strategy, and publications across biopharma. Experienced building and leading high-performing teams, shaping integrated evidence plans, and partnering with Medical Affairs, Market Access, and Commercial to influence payer and HTA decisions. Targeting Vice President, Health Economics and Outcomes Research at Crinetics Pharmaceuticals.</w:t>
      </w:r>
    </w:p>
    <w:p>
      <w:pPr>
        <w:spacing w:before="160" w:after="40"/>
      </w:pPr>
      <w:r>
        <w:rPr>
          <w:rFonts w:ascii="Calibri" w:hAnsi="Calibri"/>
          <w:b/>
          <w:color w:val="0D666E"/>
          <w:sz w:val="22"/>
        </w:rPr>
        <w:t>CORE COMPETENCIES</w:t>
      </w:r>
    </w:p>
    <w:p>
      <w:pPr>
        <w:spacing w:before="40" w:after="40"/>
        <w:pBdr>
          <w:bottom w:val="single" w:sz="6" w:space="1" w:color="0D666E"/>
        </w:pBdr>
      </w:pPr>
    </w:p>
    <w:p>
      <w:pPr>
        <w:spacing w:before="0" w:after="20"/>
      </w:pPr>
      <w:r>
        <w:rPr>
          <w:rFonts w:ascii="Calibri" w:hAnsi="Calibri"/>
          <w:color w:val="1A1A1A"/>
          <w:sz w:val="20"/>
        </w:rPr>
        <w:t>•  Enterprise Evidence Leadership &amp; Team Building</w:t>
      </w:r>
      <w:r>
        <w:rPr>
          <w:rFonts w:ascii="Calibri" w:hAnsi="Calibri"/>
          <w:color w:val="1A1A1A"/>
          <w:sz w:val="20"/>
        </w:rPr>
        <w:t xml:space="preserve">          •  External Engagement (Payers, HTA, KOLs)</w:t>
      </w:r>
    </w:p>
    <w:p>
      <w:pPr>
        <w:spacing w:before="0" w:after="20"/>
      </w:pPr>
      <w:r>
        <w:rPr>
          <w:rFonts w:ascii="Calibri" w:hAnsi="Calibri"/>
          <w:color w:val="1A1A1A"/>
          <w:sz w:val="20"/>
        </w:rPr>
        <w:t>•  Real-World Evidence (RWE) Strategy</w:t>
      </w:r>
      <w:r>
        <w:rPr>
          <w:rFonts w:ascii="Calibri" w:hAnsi="Calibri"/>
          <w:color w:val="1A1A1A"/>
          <w:sz w:val="20"/>
        </w:rPr>
        <w:t xml:space="preserve">          •  HEOR / Value &amp; Access</w:t>
      </w:r>
    </w:p>
    <w:p>
      <w:pPr>
        <w:spacing w:before="0" w:after="20"/>
      </w:pPr>
      <w:r>
        <w:rPr>
          <w:rFonts w:ascii="Calibri" w:hAnsi="Calibri"/>
          <w:color w:val="1A1A1A"/>
          <w:sz w:val="20"/>
        </w:rPr>
        <w:t>•  Observational Study Design &amp; Methods</w:t>
      </w:r>
      <w:r>
        <w:rPr>
          <w:rFonts w:ascii="Calibri" w:hAnsi="Calibri"/>
          <w:color w:val="1A1A1A"/>
          <w:sz w:val="20"/>
        </w:rPr>
        <w:t xml:space="preserve">          •  Publication Strategy &amp; Evidence Dissemination</w:t>
      </w:r>
    </w:p>
    <w:p>
      <w:pPr>
        <w:spacing w:before="0" w:after="20"/>
      </w:pPr>
      <w:r>
        <w:rPr>
          <w:rFonts w:ascii="Calibri" w:hAnsi="Calibri"/>
          <w:color w:val="1A1A1A"/>
          <w:sz w:val="20"/>
        </w:rPr>
        <w:t>•  Cross-functional Leadership (Medical, Commercial, Market Access)</w:t>
      </w:r>
    </w:p>
    <w:p>
      <w:pPr>
        <w:spacing w:before="160" w:after="40"/>
      </w:pPr>
      <w:r>
        <w:rPr>
          <w:rFonts w:ascii="Calibri" w:hAnsi="Calibri"/>
          <w:b/>
          <w:color w:val="0D666E"/>
          <w:sz w:val="22"/>
        </w:rPr>
        <w:t>PROFESSIONAL EXPERIENCE</w:t>
      </w:r>
    </w:p>
    <w:p>
      <w:pPr>
        <w:spacing w:before="40" w:after="40"/>
        <w:pBdr>
          <w:bottom w:val="single" w:sz="6" w:space="1" w:color="0D666E"/>
        </w:pBdr>
      </w:pPr>
    </w:p>
    <w:p>
      <w:pPr>
        <w:spacing w:before="120" w:after="20"/>
      </w:pPr>
      <w:r>
        <w:rPr>
          <w:rFonts w:ascii="Calibri" w:hAnsi="Calibri"/>
          <w:b/>
          <w:color w:val="1A1A1A"/>
          <w:sz w:val="20"/>
        </w:rPr>
        <w:t>Director, Medical Affairs — Epidemiology &amp; RWE</w:t>
      </w:r>
      <w:r>
        <w:rPr>
          <w:rFonts w:ascii="Calibri" w:hAnsi="Calibri"/>
          <w:color w:val="555555"/>
          <w:sz w:val="20"/>
        </w:rPr>
        <w:t xml:space="preserve"> | </w:t>
      </w:r>
      <w:r>
        <w:rPr>
          <w:rFonts w:ascii="Calibri" w:hAnsi="Calibri"/>
          <w:color w:val="1A1A1A"/>
          <w:sz w:val="20"/>
        </w:rPr>
        <w:t>Kiniksa Pharmaceuticals</w:t>
      </w:r>
    </w:p>
    <w:p>
      <w:pPr>
        <w:spacing w:before="0" w:after="40"/>
      </w:pPr>
      <w:r>
        <w:rPr>
          <w:rFonts w:ascii="Calibri" w:hAnsi="Calibri"/>
          <w:i/>
          <w:color w:val="555555"/>
          <w:sz w:val="18"/>
        </w:rPr>
        <w:t>Jul 2023 – Present</w:t>
      </w:r>
    </w:p>
    <w:p>
      <w:pPr>
        <w:pStyle w:val="ListBullet"/>
        <w:spacing w:before="0" w:after="20" w:line="260" w:lineRule="exact"/>
      </w:pPr>
      <w:r>
        <w:rPr>
          <w:rFonts w:ascii="Calibri" w:hAnsi="Calibri"/>
          <w:color w:val="1A1A1A"/>
          <w:sz w:val="20"/>
        </w:rPr>
        <w:t>Develop study concepts and execute studies of incidence/prevalence, burden of illness, and natural history of disease for business development and early development indications</w:t>
      </w:r>
    </w:p>
    <w:p>
      <w:pPr>
        <w:pStyle w:val="ListBullet"/>
        <w:spacing w:before="0" w:after="20" w:line="260" w:lineRule="exact"/>
      </w:pPr>
      <w:r>
        <w:rPr>
          <w:rFonts w:ascii="Calibri" w:hAnsi="Calibri"/>
          <w:color w:val="1A1A1A"/>
          <w:sz w:val="20"/>
        </w:rPr>
        <w:t>Provide strategic and tactical support for cross-functional RWE development including registries, burden of illness/natural history of disease for regulators, payers, and clinicians</w:t>
      </w:r>
    </w:p>
    <w:p>
      <w:pPr>
        <w:pStyle w:val="ListBullet"/>
        <w:spacing w:before="0" w:after="20" w:line="260" w:lineRule="exact"/>
      </w:pPr>
      <w:r>
        <w:rPr>
          <w:rFonts w:ascii="Calibri" w:hAnsi="Calibri"/>
          <w:color w:val="1A1A1A"/>
          <w:sz w:val="20"/>
        </w:rPr>
        <w:t>Establish innovative methods and integrate into HEOR, global safety, and medical affairs observational research</w:t>
      </w:r>
    </w:p>
    <w:p>
      <w:pPr>
        <w:pStyle w:val="ListBullet"/>
        <w:spacing w:before="0" w:after="20" w:line="260" w:lineRule="exact"/>
      </w:pPr>
      <w:r>
        <w:rPr>
          <w:rFonts w:ascii="Calibri" w:hAnsi="Calibri"/>
          <w:color w:val="1A1A1A"/>
          <w:sz w:val="20"/>
        </w:rPr>
        <w:t>Adapt performance metrics and dashboards for RWE projects within cardiology and immunology therapeutic areas</w:t>
      </w:r>
    </w:p>
    <w:p>
      <w:pPr>
        <w:spacing w:before="120" w:after="20"/>
      </w:pPr>
      <w:r>
        <w:rPr>
          <w:rFonts w:ascii="Calibri" w:hAnsi="Calibri"/>
          <w:b/>
          <w:color w:val="1A1A1A"/>
          <w:sz w:val="20"/>
        </w:rPr>
        <w:t>Associate Director, Oncology Outcomes Research</w:t>
      </w:r>
      <w:r>
        <w:rPr>
          <w:rFonts w:ascii="Calibri" w:hAnsi="Calibri"/>
          <w:color w:val="555555"/>
          <w:sz w:val="20"/>
        </w:rPr>
        <w:t xml:space="preserve"> | </w:t>
      </w:r>
      <w:r>
        <w:rPr>
          <w:rFonts w:ascii="Calibri" w:hAnsi="Calibri"/>
          <w:color w:val="1A1A1A"/>
          <w:sz w:val="20"/>
        </w:rPr>
        <w:t>AstraZeneca</w:t>
      </w:r>
    </w:p>
    <w:p>
      <w:pPr>
        <w:spacing w:before="0" w:after="40"/>
      </w:pPr>
      <w:r>
        <w:rPr>
          <w:rFonts w:ascii="Calibri" w:hAnsi="Calibri"/>
          <w:i/>
          <w:color w:val="555555"/>
          <w:sz w:val="18"/>
        </w:rPr>
        <w:t>Jan 2023 – Jul 2023</w:t>
      </w:r>
    </w:p>
    <w:p>
      <w:pPr>
        <w:pStyle w:val="ListBullet"/>
        <w:spacing w:before="0" w:after="20" w:line="260" w:lineRule="exact"/>
      </w:pPr>
      <w:r>
        <w:rPr>
          <w:rFonts w:ascii="Calibri" w:hAnsi="Calibri"/>
          <w:color w:val="1A1A1A"/>
          <w:sz w:val="20"/>
        </w:rPr>
        <w:t>Led development and execution of global business strategy through evidence generation for AZ's ADC lung cancer portfolio</w:t>
      </w:r>
    </w:p>
    <w:p>
      <w:pPr>
        <w:pStyle w:val="ListBullet"/>
        <w:spacing w:before="0" w:after="20" w:line="260" w:lineRule="exact"/>
      </w:pPr>
      <w:r>
        <w:rPr>
          <w:rFonts w:ascii="Calibri" w:hAnsi="Calibri"/>
          <w:color w:val="1A1A1A"/>
          <w:sz w:val="20"/>
        </w:rPr>
        <w:t>Directed design, execution, analysis, and communication of HEOR, RWE, and epidemiological studies supporting medical affairs and access strategy</w:t>
      </w:r>
    </w:p>
    <w:p>
      <w:pPr>
        <w:pStyle w:val="ListBullet"/>
        <w:spacing w:before="0" w:after="20" w:line="260" w:lineRule="exact"/>
      </w:pPr>
      <w:r>
        <w:rPr>
          <w:rFonts w:ascii="Calibri" w:hAnsi="Calibri"/>
          <w:color w:val="1A1A1A"/>
          <w:sz w:val="20"/>
        </w:rPr>
        <w:t>Served as expert on RWE methods and cancer epidemiology for clinical development and commercialization of first-in-class therapeutic agents</w:t>
      </w:r>
    </w:p>
    <w:p>
      <w:pPr>
        <w:pStyle w:val="ListBullet"/>
        <w:spacing w:before="0" w:after="20" w:line="260" w:lineRule="exact"/>
      </w:pPr>
      <w:r>
        <w:rPr>
          <w:rFonts w:ascii="Calibri" w:hAnsi="Calibri"/>
          <w:color w:val="1A1A1A"/>
          <w:sz w:val="20"/>
        </w:rPr>
        <w:t>Provided specialized recommendations to project execution teams and senior leaders on high-impact project opportunities and risks</w:t>
      </w:r>
    </w:p>
    <w:p>
      <w:pPr>
        <w:spacing w:before="120" w:after="20"/>
      </w:pPr>
      <w:r>
        <w:rPr>
          <w:rFonts w:ascii="Calibri" w:hAnsi="Calibri"/>
          <w:b/>
          <w:color w:val="1A1A1A"/>
          <w:sz w:val="20"/>
        </w:rPr>
        <w:t>Associate Director, Global Real World Evidence Strategy</w:t>
      </w:r>
      <w:r>
        <w:rPr>
          <w:rFonts w:ascii="Calibri" w:hAnsi="Calibri"/>
          <w:color w:val="555555"/>
          <w:sz w:val="20"/>
        </w:rPr>
        <w:t xml:space="preserve"> | </w:t>
      </w:r>
      <w:r>
        <w:rPr>
          <w:rFonts w:ascii="Calibri" w:hAnsi="Calibri"/>
          <w:color w:val="1A1A1A"/>
          <w:sz w:val="20"/>
        </w:rPr>
        <w:t>AstraZeneca</w:t>
      </w:r>
    </w:p>
    <w:p>
      <w:pPr>
        <w:spacing w:before="0" w:after="40"/>
      </w:pPr>
      <w:r>
        <w:rPr>
          <w:rFonts w:ascii="Calibri" w:hAnsi="Calibri"/>
          <w:i/>
          <w:color w:val="555555"/>
          <w:sz w:val="18"/>
        </w:rPr>
        <w:t>Jan 2022 – Jan 2023</w:t>
      </w:r>
    </w:p>
    <w:p>
      <w:pPr>
        <w:pStyle w:val="ListBullet"/>
        <w:spacing w:before="0" w:after="20" w:line="260" w:lineRule="exact"/>
      </w:pPr>
      <w:r>
        <w:rPr>
          <w:rFonts w:ascii="Calibri" w:hAnsi="Calibri"/>
          <w:color w:val="1A1A1A"/>
          <w:sz w:val="20"/>
        </w:rPr>
        <w:t>Led creation and prioritization of medical evidence generation strategies for early and late-stage lung cancer</w:t>
      </w:r>
    </w:p>
    <w:p>
      <w:pPr>
        <w:pStyle w:val="ListBullet"/>
        <w:spacing w:before="0" w:after="20" w:line="260" w:lineRule="exact"/>
      </w:pPr>
      <w:r>
        <w:rPr>
          <w:rFonts w:ascii="Calibri" w:hAnsi="Calibri"/>
          <w:color w:val="1A1A1A"/>
          <w:sz w:val="20"/>
        </w:rPr>
        <w:t>Worked with key stakeholders to identify evidence gaps and developed patient-centric research strategies for HCPs, payers, and patients</w:t>
      </w:r>
    </w:p>
    <w:p>
      <w:pPr>
        <w:pStyle w:val="ListBullet"/>
        <w:spacing w:before="0" w:after="20" w:line="260" w:lineRule="exact"/>
      </w:pPr>
      <w:r>
        <w:rPr>
          <w:rFonts w:ascii="Calibri" w:hAnsi="Calibri"/>
          <w:color w:val="1A1A1A"/>
          <w:sz w:val="20"/>
        </w:rPr>
        <w:t>Provided strategic partnership on evidence generation plans across US and global medical, commercial, market access, and R&amp;D RWE teams</w:t>
      </w:r>
    </w:p>
    <w:p>
      <w:pPr>
        <w:pStyle w:val="ListBullet"/>
        <w:spacing w:before="0" w:after="20" w:line="260" w:lineRule="exact"/>
      </w:pPr>
      <w:r>
        <w:rPr>
          <w:rFonts w:ascii="Calibri" w:hAnsi="Calibri"/>
          <w:color w:val="1A1A1A"/>
          <w:sz w:val="20"/>
        </w:rPr>
        <w:t>Led external engagement as ISPOR Methods Advisory member; provided recommendations on study design methodology for observational studies, HEOR, and epidemiological modeling</w:t>
      </w:r>
    </w:p>
    <w:p>
      <w:pPr>
        <w:spacing w:before="120" w:after="20"/>
      </w:pPr>
      <w:r>
        <w:rPr>
          <w:rFonts w:ascii="Calibri" w:hAnsi="Calibri"/>
          <w:b/>
          <w:color w:val="1A1A1A"/>
          <w:sz w:val="20"/>
        </w:rPr>
        <w:t>Senior Epidemiologist</w:t>
      </w:r>
      <w:r>
        <w:rPr>
          <w:rFonts w:ascii="Calibri" w:hAnsi="Calibri"/>
          <w:color w:val="555555"/>
          <w:sz w:val="20"/>
        </w:rPr>
        <w:t xml:space="preserve"> | </w:t>
      </w:r>
      <w:r>
        <w:rPr>
          <w:rFonts w:ascii="Calibri" w:hAnsi="Calibri"/>
          <w:color w:val="1A1A1A"/>
          <w:sz w:val="20"/>
        </w:rPr>
        <w:t>Fresenius Medical Care North America</w:t>
      </w:r>
    </w:p>
    <w:p>
      <w:pPr>
        <w:spacing w:before="0" w:after="40"/>
      </w:pPr>
      <w:r>
        <w:rPr>
          <w:rFonts w:ascii="Calibri" w:hAnsi="Calibri"/>
          <w:i/>
          <w:color w:val="555555"/>
          <w:sz w:val="18"/>
        </w:rPr>
        <w:t>Nov 2019 – Dec 2021</w:t>
      </w:r>
    </w:p>
    <w:p>
      <w:pPr>
        <w:pStyle w:val="ListBullet"/>
        <w:spacing w:before="0" w:after="20" w:line="260" w:lineRule="exact"/>
      </w:pPr>
      <w:r>
        <w:rPr>
          <w:rFonts w:ascii="Calibri" w:hAnsi="Calibri"/>
          <w:color w:val="1A1A1A"/>
          <w:sz w:val="20"/>
        </w:rPr>
        <w:t>Generated real-world evidence to support pre- and post-launch strategy for new and marketed cardiorenal products</w:t>
      </w:r>
    </w:p>
    <w:p>
      <w:pPr>
        <w:pStyle w:val="ListBullet"/>
        <w:spacing w:before="0" w:after="20" w:line="260" w:lineRule="exact"/>
      </w:pPr>
      <w:r>
        <w:rPr>
          <w:rFonts w:ascii="Calibri" w:hAnsi="Calibri"/>
          <w:color w:val="1A1A1A"/>
          <w:sz w:val="20"/>
        </w:rPr>
        <w:t>Developed study designs and statistical analysis protocols for retrospective/prospective observational studies, disease registries, EMR, and administrative claims data</w:t>
      </w:r>
    </w:p>
    <w:p>
      <w:pPr>
        <w:pStyle w:val="ListBullet"/>
        <w:spacing w:before="0" w:after="20" w:line="260" w:lineRule="exact"/>
      </w:pPr>
      <w:r>
        <w:rPr>
          <w:rFonts w:ascii="Calibri" w:hAnsi="Calibri"/>
          <w:color w:val="1A1A1A"/>
          <w:sz w:val="20"/>
        </w:rPr>
        <w:t>Managed IRB submissions and grant proposals</w:t>
      </w:r>
    </w:p>
    <w:p>
      <w:pPr>
        <w:pStyle w:val="ListBullet"/>
        <w:spacing w:before="0" w:after="20" w:line="260" w:lineRule="exact"/>
      </w:pPr>
      <w:r>
        <w:rPr>
          <w:rFonts w:ascii="Calibri" w:hAnsi="Calibri"/>
          <w:color w:val="1A1A1A"/>
          <w:sz w:val="20"/>
        </w:rPr>
        <w:t>Served as expert on epidemiological databases and methods; led data presentations to payers and HCPs at advisory board meetings</w:t>
      </w:r>
    </w:p>
    <w:p>
      <w:pPr>
        <w:spacing w:before="120" w:after="20"/>
      </w:pPr>
      <w:r>
        <w:rPr>
          <w:rFonts w:ascii="Calibri" w:hAnsi="Calibri"/>
          <w:b/>
          <w:color w:val="1A1A1A"/>
          <w:sz w:val="20"/>
        </w:rPr>
        <w:t>Epidemiologist</w:t>
      </w:r>
      <w:r>
        <w:rPr>
          <w:rFonts w:ascii="Calibri" w:hAnsi="Calibri"/>
          <w:color w:val="555555"/>
          <w:sz w:val="20"/>
        </w:rPr>
        <w:t xml:space="preserve"> | </w:t>
      </w:r>
      <w:r>
        <w:rPr>
          <w:rFonts w:ascii="Calibri" w:hAnsi="Calibri"/>
          <w:color w:val="1A1A1A"/>
          <w:sz w:val="20"/>
        </w:rPr>
        <w:t>Fresenius Medical Care Canada</w:t>
      </w:r>
    </w:p>
    <w:p>
      <w:pPr>
        <w:spacing w:before="0" w:after="40"/>
      </w:pPr>
      <w:r>
        <w:rPr>
          <w:rFonts w:ascii="Calibri" w:hAnsi="Calibri"/>
          <w:i/>
          <w:color w:val="555555"/>
          <w:sz w:val="18"/>
        </w:rPr>
        <w:t>Feb 2018 – Oct 2019</w:t>
      </w:r>
    </w:p>
    <w:p>
      <w:pPr>
        <w:pStyle w:val="ListBullet"/>
        <w:spacing w:before="0" w:after="20" w:line="260" w:lineRule="exact"/>
      </w:pPr>
      <w:r>
        <w:rPr>
          <w:rFonts w:ascii="Calibri" w:hAnsi="Calibri"/>
          <w:color w:val="1A1A1A"/>
          <w:sz w:val="20"/>
        </w:rPr>
        <w:t>Conducted systematic/targeted literature reviews and meta-analyses of renal therapies for regulatory submissions to Health Canada</w:t>
      </w:r>
    </w:p>
    <w:p>
      <w:pPr>
        <w:pStyle w:val="ListBullet"/>
        <w:spacing w:before="0" w:after="20" w:line="260" w:lineRule="exact"/>
      </w:pPr>
      <w:r>
        <w:rPr>
          <w:rFonts w:ascii="Calibri" w:hAnsi="Calibri"/>
          <w:color w:val="1A1A1A"/>
          <w:sz w:val="20"/>
        </w:rPr>
        <w:t>Developed sample size and statistical analysis plans for observational studies, budget impact models, network meta-analyses, and cluster-randomized pragmatic trials</w:t>
      </w:r>
    </w:p>
    <w:p>
      <w:pPr>
        <w:pStyle w:val="ListBullet"/>
        <w:spacing w:before="0" w:after="20" w:line="260" w:lineRule="exact"/>
      </w:pPr>
      <w:r>
        <w:rPr>
          <w:rFonts w:ascii="Calibri" w:hAnsi="Calibri"/>
          <w:color w:val="1A1A1A"/>
          <w:sz w:val="20"/>
        </w:rPr>
        <w:t>Worked with CROs and external vendors (Aetion, IQVIA, Evidera, IBM Truven)</w:t>
      </w:r>
    </w:p>
    <w:p>
      <w:pPr>
        <w:pStyle w:val="ListBullet"/>
        <w:spacing w:before="0" w:after="20" w:line="260" w:lineRule="exact"/>
      </w:pPr>
      <w:r>
        <w:rPr>
          <w:rFonts w:ascii="Calibri" w:hAnsi="Calibri"/>
          <w:color w:val="1A1A1A"/>
          <w:sz w:val="20"/>
        </w:rPr>
        <w:t>Trained junior scientists on Canadian kidney registry analysis and real-time data visualization using SAS, Tableau, and Adobe Creative Cloud</w:t>
      </w:r>
    </w:p>
    <w:p>
      <w:pPr>
        <w:spacing w:before="120" w:after="20"/>
      </w:pPr>
      <w:r>
        <w:rPr>
          <w:rFonts w:ascii="Calibri" w:hAnsi="Calibri"/>
          <w:b/>
          <w:color w:val="1A1A1A"/>
          <w:sz w:val="20"/>
        </w:rPr>
        <w:t>Evidence-Based Medical Analyst</w:t>
      </w:r>
      <w:r>
        <w:rPr>
          <w:rFonts w:ascii="Calibri" w:hAnsi="Calibri"/>
          <w:color w:val="555555"/>
          <w:sz w:val="20"/>
        </w:rPr>
        <w:t xml:space="preserve"> | </w:t>
      </w:r>
      <w:r>
        <w:rPr>
          <w:rFonts w:ascii="Calibri" w:hAnsi="Calibri"/>
          <w:color w:val="1A1A1A"/>
          <w:sz w:val="20"/>
        </w:rPr>
        <w:t>Fresenius Medical Care North America</w:t>
      </w:r>
    </w:p>
    <w:p>
      <w:pPr>
        <w:spacing w:before="0" w:after="40"/>
      </w:pPr>
      <w:r>
        <w:rPr>
          <w:rFonts w:ascii="Calibri" w:hAnsi="Calibri"/>
          <w:i/>
          <w:color w:val="555555"/>
          <w:sz w:val="18"/>
        </w:rPr>
        <w:t>Feb 2015 – Jan 2018</w:t>
      </w:r>
    </w:p>
    <w:p>
      <w:pPr>
        <w:pStyle w:val="ListBullet"/>
        <w:spacing w:before="0" w:after="20" w:line="260" w:lineRule="exact"/>
      </w:pPr>
      <w:r>
        <w:rPr>
          <w:rFonts w:ascii="Calibri" w:hAnsi="Calibri"/>
          <w:color w:val="1A1A1A"/>
          <w:sz w:val="20"/>
        </w:rPr>
        <w:t>Conducted comparative effectiveness research on dialysis therapies, cardiorenal drugs, and devices</w:t>
      </w:r>
    </w:p>
    <w:p>
      <w:pPr>
        <w:pStyle w:val="ListBullet"/>
        <w:spacing w:before="0" w:after="20" w:line="260" w:lineRule="exact"/>
      </w:pPr>
      <w:r>
        <w:rPr>
          <w:rFonts w:ascii="Calibri" w:hAnsi="Calibri"/>
          <w:color w:val="1A1A1A"/>
          <w:sz w:val="20"/>
        </w:rPr>
        <w:t>Led publication of peer-reviewed manuscripts, research reports, and scientific posters</w:t>
      </w:r>
    </w:p>
    <w:p>
      <w:pPr>
        <w:pStyle w:val="ListBullet"/>
        <w:spacing w:before="0" w:after="20" w:line="260" w:lineRule="exact"/>
      </w:pPr>
      <w:r>
        <w:rPr>
          <w:rFonts w:ascii="Calibri" w:hAnsi="Calibri"/>
          <w:color w:val="1A1A1A"/>
          <w:sz w:val="20"/>
        </w:rPr>
        <w:t>Prepared AMCP dossiers for FDA regulatory submissions</w:t>
      </w:r>
    </w:p>
    <w:p>
      <w:pPr>
        <w:pStyle w:val="ListBullet"/>
        <w:spacing w:before="0" w:after="20" w:line="260" w:lineRule="exact"/>
      </w:pPr>
      <w:r>
        <w:rPr>
          <w:rFonts w:ascii="Calibri" w:hAnsi="Calibri"/>
          <w:color w:val="1A1A1A"/>
          <w:sz w:val="20"/>
        </w:rPr>
        <w:t>Developed pharmacoepidemiologic dashboards to monitor safety and efficacy of marketed renal therapies</w:t>
      </w:r>
    </w:p>
    <w:p>
      <w:pPr>
        <w:spacing w:before="160" w:after="40"/>
      </w:pPr>
      <w:r>
        <w:rPr>
          <w:rFonts w:ascii="Calibri" w:hAnsi="Calibri"/>
          <w:b/>
          <w:color w:val="0D666E"/>
          <w:sz w:val="22"/>
        </w:rPr>
        <w:t>EDUCATION</w:t>
      </w:r>
    </w:p>
    <w:p>
      <w:pPr>
        <w:spacing w:before="40" w:after="40"/>
        <w:pBdr>
          <w:bottom w:val="single" w:sz="6" w:space="1" w:color="0D666E"/>
        </w:pBdr>
      </w:pPr>
    </w:p>
    <w:p>
      <w:pPr>
        <w:spacing w:before="40" w:after="20"/>
      </w:pPr>
      <w:r>
        <w:rPr>
          <w:rFonts w:ascii="Calibri" w:hAnsi="Calibri"/>
          <w:b/>
          <w:color w:val="1A1A1A"/>
          <w:sz w:val="20"/>
        </w:rPr>
        <w:t>Master of Public Health, Biostatistics &amp; Epidemiology</w:t>
      </w:r>
    </w:p>
    <w:p>
      <w:pPr>
        <w:spacing w:before="0" w:after="40"/>
      </w:pPr>
      <w:r>
        <w:rPr>
          <w:rFonts w:ascii="Calibri" w:hAnsi="Calibri"/>
          <w:color w:val="555555"/>
          <w:sz w:val="18"/>
        </w:rPr>
        <w:t>Boston University School of Public Health (2013–2015)</w:t>
      </w:r>
    </w:p>
    <w:p>
      <w:pPr>
        <w:spacing w:before="40" w:after="20"/>
      </w:pPr>
      <w:r>
        <w:rPr>
          <w:rFonts w:ascii="Calibri" w:hAnsi="Calibri"/>
          <w:b/>
          <w:color w:val="1A1A1A"/>
          <w:sz w:val="20"/>
        </w:rPr>
        <w:t>Bachelor of Technology, Chemical Engineering</w:t>
      </w:r>
    </w:p>
    <w:p>
      <w:pPr>
        <w:spacing w:before="0" w:after="40"/>
      </w:pPr>
      <w:r>
        <w:rPr>
          <w:rFonts w:ascii="Calibri" w:hAnsi="Calibri"/>
          <w:color w:val="555555"/>
          <w:sz w:val="18"/>
        </w:rPr>
        <w:t>Anna University, Chennai, India (2009–2013)</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