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A1A1A"/>
          <w:sz w:val="44"/>
        </w:rPr>
        <w:t>Vidhya Parameswaran</w:t>
      </w:r>
    </w:p>
    <w:p>
      <w:pPr>
        <w:spacing w:before="0" w:after="0"/>
        <w:jc w:val="center"/>
      </w:pPr>
      <w:r>
        <w:rPr>
          <w:rFonts w:ascii="Calibri" w:hAnsi="Calibri"/>
          <w:color w:val="555555"/>
          <w:sz w:val="18"/>
        </w:rPr>
        <w:t>Lexington, MA  |  617-460-6535  |  vidhya9102@gmail.com  |  https://www.linkedin.com/in/vidhya-parameswaran/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SUMMARY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80" w:line="280" w:lineRule="exact"/>
      </w:pPr>
      <w:r>
        <w:rPr>
          <w:rFonts w:ascii="Calibri" w:hAnsi="Calibri"/>
          <w:color w:val="1A1A1A"/>
          <w:sz w:val="20"/>
        </w:rPr>
        <w:t>Director-level epidemiology and real-world evidence leader with deep experience designing and executing observational studies, causal inference analyses, and evidence-generation strategies to inform clinical development and medical affairs.Proven cross-functional partner translating real-world data (claims/EMR/registries) into actionable insights, biomarkers/risk stratification pathways, and scientific communications for internal decision-making and external stakeholders.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CORE COMPETENCIES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Real-World Evidence (RWE) Strategy</w:t>
      </w:r>
      <w:r>
        <w:rPr>
          <w:rFonts w:ascii="Calibri" w:hAnsi="Calibri"/>
          <w:color w:val="1A1A1A"/>
          <w:sz w:val="20"/>
        </w:rPr>
        <w:t xml:space="preserve">          •  Epidemiology &amp; Pharmacoepidemiology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Causal Inference (observational studies)</w:t>
      </w:r>
      <w:r>
        <w:rPr>
          <w:rFonts w:ascii="Calibri" w:hAnsi="Calibri"/>
          <w:color w:val="1A1A1A"/>
          <w:sz w:val="20"/>
        </w:rPr>
        <w:t xml:space="preserve">          •  Real-World Data (claims, EMR, registries)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Innovation / analytics acceleration</w:t>
      </w:r>
      <w:r>
        <w:rPr>
          <w:rFonts w:ascii="Calibri" w:hAnsi="Calibri"/>
          <w:color w:val="1A1A1A"/>
          <w:sz w:val="20"/>
        </w:rPr>
        <w:t xml:space="preserve">          •  Cross-functional leadership (Medical, Clinical, HEOR, Biometrics)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Scientific communications (62+ presentations)</w:t>
      </w:r>
      <w:r>
        <w:rPr>
          <w:rFonts w:ascii="Calibri" w:hAnsi="Calibri"/>
          <w:color w:val="1A1A1A"/>
          <w:sz w:val="20"/>
        </w:rPr>
        <w:t xml:space="preserve">          •  Vendor / partner management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EXPERIENCE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EDUCATION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Master of Public Health, Biostatistics &amp; Epidemiology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Boston University School of Public Health (2013–2015)</w:t>
      </w: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Bachelor of Technology, Chemical Engineering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Anna University, Chennai, India (2009–2013)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SELECT PUBLICATIONS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a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u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t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o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AWARDS &amp; RECOGNITION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a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u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t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o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