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and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illness, and 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 across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Assess real-world data assets and establish data plans including data licenses and platform evaluations for enterprise-wide RWE initiatives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groups, ensuring scientific rigor and regulatory alignment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evidence generation strategy for AstraZeneca's ADC lung cancer portfolio, including HEOR/RWE and epidemiological studies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market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subject matter expert on RWE methods and cancer epidemiology for clinical development and commercialization of first-in-class oncology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senior leaders on high-impact evidence generation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cross-functional relationships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 programs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patient-centric research strategies addressing evidence gaps for HCPs, payers, and patients across US and global markets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 and epidemiological modeling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Maintained in-depth knowledge of oncology disease state, market dynamics, competitive landscape, and reimbursement issues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cardiorenal products using claims data, EMR, and disease registries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data presentations to payers and HCPs at advisory board meetings; served as expert on epidemiological databases and methods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a team of 3, providing guidance on SAS/R programming, causal inference,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CRO and external vendor relationships (Aetion, IQVIA, Evidera, IBM Truven) for evidence generation programs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and led publication of peer-reviewed manuscripts and scientific posters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Prepared AMCP dossiers for FDA regulatory submissions and developed pharmacoepidemiologic safety dashboards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