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oncology, cardiorenal, immunology therapeutic areas. Currently directing epidemiology and RWE strategy at Kiniksa Pharmaceuticals; previously led global oncology evidence generation at AstraZeneca, including HEOR/RWE strategy for ADC lung cancer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Oncology Evidence Generation</w:t>
      </w:r>
      <w:r>
        <w:rPr>
          <w:rFonts w:ascii="Calibri" w:hAnsi="Calibri"/>
          <w:color w:val="1A1A1A"/>
          <w:sz w:val="20"/>
        </w:rPr>
        <w:t xml:space="preserve">          •  Evidence Generation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Non-Interventional Study Design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Team Leadership</w:t>
      </w:r>
      <w:r>
        <w:rPr>
          <w:rFonts w:ascii="Calibri" w:hAnsi="Calibri"/>
          <w:color w:val="1A1A1A"/>
          <w:sz w:val="20"/>
        </w:rPr>
        <w:t xml:space="preserve">          •  Real-World Data Platforms (Aetion, IQVIA, MarketScan)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Publication Strategy</w:t>
      </w:r>
      <w:r>
        <w:rPr>
          <w:rFonts w:ascii="Calibri" w:hAnsi="Calibri"/>
          <w:color w:val="1A1A1A"/>
          <w:sz w:val="20"/>
        </w:rPr>
        <w:t xml:space="preserve">          •  Causal Inference &amp; Pharmacoepidemiology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Claims Data &amp; EMR Analysis</w:t>
      </w:r>
      <w:r>
        <w:rPr>
          <w:rFonts w:ascii="Calibri" w:hAnsi="Calibri"/>
          <w:color w:val="1A1A1A"/>
          <w:sz w:val="20"/>
        </w:rPr>
        <w:t xml:space="preserve">          •  Systematic Literature Review &amp; Meta-Analysis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epidemiological databases and methods; led data presentations to payers and HCPs at advisory board meetings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