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Director-level epidemiology and real-world evidence leader with deep experience designing and executing observational studies, causal inference analyses, and evidence-generation strategies to inform clinical development and medical affairs. Proven cross-functional partner translating real-world data (claims/EMR/registries) into actionable insights, biomarkers/risk stratification pathways, and scientific communications for internal decision-making and external stakeholders.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Epidemiology &amp; Pharmacoepidemiology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Causal Inference (observational studies)</w:t>
      </w:r>
      <w:r>
        <w:rPr>
          <w:rFonts w:ascii="Calibri" w:hAnsi="Calibri"/>
          <w:color w:val="1A1A1A"/>
          <w:sz w:val="20"/>
        </w:rPr>
        <w:t xml:space="preserve">          •  Real-World Data (claims, EMR, registries)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Innovation / analytics acceleration</w:t>
      </w:r>
      <w:r>
        <w:rPr>
          <w:rFonts w:ascii="Calibri" w:hAnsi="Calibri"/>
          <w:color w:val="1A1A1A"/>
          <w:sz w:val="20"/>
        </w:rPr>
        <w:t xml:space="preserve">          •  Cross-functional leadership (Medical, Clinical, HEOR, Biometrics)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Scientific communications (62+ presentations)</w:t>
      </w:r>
      <w:r>
        <w:rPr>
          <w:rFonts w:ascii="Calibri" w:hAnsi="Calibri"/>
          <w:color w:val="1A1A1A"/>
          <w:sz w:val="20"/>
        </w:rPr>
        <w:t xml:space="preserve">          •  Vendor / partner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Assess real-world data assets and establish real-world data plans, including data licenses and data platforms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Assess research gaps across key partners and disease areas to determine proactive observational research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Maintained in-depth knowledge of disease state, market dynamics, competitive landscape, and reimbursement issues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disease natural history and epidemiology insights to support business development, mergers, and acquisitions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a team of 2 interns and 1 analyst; provided guidance on SAS/R programming, causal inference, big data research, and epidemiological modeling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Trained junior scientists on Canadian kidney registry analysis and real-time data visualization using SAS, Tableau, and Adobe Creative Cloud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CROs and external vendors (Aetion, IQVIA, Evidera, IBM Truven)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Prepared AMCP dossiers for FDA regulatory submissions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pharmacoepidemiologic dashboards to monitor safety and efficacy of marketed renal therapies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Junior Professionals Scholarship, PharmaSUG Conference (2018, 2019)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