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A1A1A"/>
          <w:sz w:val="44"/>
        </w:rPr>
        <w:t>Vidhya Parameswaran</w:t>
      </w:r>
    </w:p>
    <w:p>
      <w:pPr>
        <w:spacing w:before="0" w:after="0"/>
        <w:jc w:val="center"/>
      </w:pPr>
      <w:r>
        <w:rPr>
          <w:rFonts w:ascii="Calibri" w:hAnsi="Calibri"/>
          <w:color w:val="555555"/>
          <w:sz w:val="18"/>
        </w:rPr>
        <w:t>Lexington, MA  |  617-460-6535  |  vidhya9102@gmail.com  |  https://www.linkedin.com/in/vidhya-parameswaran/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SUMMARY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80" w:line="280" w:lineRule="exact"/>
      </w:pPr>
      <w:r>
        <w:rPr>
          <w:rFonts w:ascii="Calibri" w:hAnsi="Calibri"/>
          <w:color w:val="1A1A1A"/>
          <w:sz w:val="20"/>
        </w:rPr>
        <w:t>Strategic real-world evidence and HEOR leader with 10+ years of progressive experience in pharma and biotech, spanning oncology, cardiorenal, immunology therapeutic areas. Currently directing epidemiology and RWE strategy at Kiniksa Pharmaceuticals; previously led global real-world evidence strategy at AstraZeneca across oncology evidence generation programs. Proven track record of leading cross-functional teams, managing external vendor partnerships, and translating real-world data into actionable insights for regulators, payers, and HCPs. Author of 7 peer-reviewed publications with 62+ conference presentations at ISPOR, ASN, and PharmaSUG.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CORE COMPETENCIES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Real-World Evidence (RWE) Strategy</w:t>
      </w:r>
      <w:r>
        <w:rPr>
          <w:rFonts w:ascii="Calibri" w:hAnsi="Calibri"/>
          <w:color w:val="1A1A1A"/>
          <w:sz w:val="20"/>
        </w:rPr>
        <w:t xml:space="preserve">          •  Health Economics and Outcomes Research (HEOR)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Epidemiological Study Design</w:t>
      </w:r>
      <w:r>
        <w:rPr>
          <w:rFonts w:ascii="Calibri" w:hAnsi="Calibri"/>
          <w:color w:val="1A1A1A"/>
          <w:sz w:val="20"/>
        </w:rPr>
        <w:t xml:space="preserve">          •  Non-Interventional Study Design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Cross-Functional Team Leadership</w:t>
      </w:r>
      <w:r>
        <w:rPr>
          <w:rFonts w:ascii="Calibri" w:hAnsi="Calibri"/>
          <w:color w:val="1A1A1A"/>
          <w:sz w:val="20"/>
        </w:rPr>
        <w:t xml:space="preserve">          •  Medical Affairs Strategy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Regulatory Submissions &amp; AMCP Dossiers</w:t>
      </w:r>
      <w:r>
        <w:rPr>
          <w:rFonts w:ascii="Calibri" w:hAnsi="Calibri"/>
          <w:color w:val="1A1A1A"/>
          <w:sz w:val="20"/>
        </w:rPr>
        <w:t xml:space="preserve">          •  Publication Strategy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Vendor/CRO Management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EXPERIENCE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Director, Medical Affairs — Epidemiology &amp; RWE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Kiniksa Pharmaceuticals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Jul 2023 – Present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 study concepts and execute studies of incidence/prevalence, burden of illness, and natural history of disease for business development and early development indications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 strategic and tactical support for cross-functional RWE development including registries, burden of illness/natural history of disease for regulators, payers, and clinicians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Establish innovative methods and integrate into HEOR, global safety, and medical affairs observational research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Adapt performance metrics and dashboards for RWE projects within cardiology and immunology therapeutic areas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Oncology Outcomes Research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2023 – Jul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development and execution of global business strategy through evidence generation for AZ's ADC lung cancer portfolio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Directed design, execution, analysis, and communication of HEOR, RWE, and epidemiological studies supporting medical affairs and access strategy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Served as expert on RWE methods and cancer epidemiology for clinical development and commercialization of first-in-class therapeutic agents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specialized recommendations to project execution teams and senior leaders on high-impact project opportunities and risks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Global Real World Evidence Strategy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2022 – Jan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creation and prioritization of medical evidence generation strategies for early and late-stage lung cancer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Worked with key stakeholders to identify evidence gaps and developed patient-centric research strategies for HCPs, payers, and patients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strategic partnership on evidence generation plans across US and global medical, commercial, market access, and R&amp;D RWE teams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Senior 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Nov 2019 – Dec 2021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Generated real-world evidence to support pre- and post-launch strategy for new and marketed cardiorenal products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study designs and statistical analysis protocols for retrospective/prospective observational studies, disease registries, EMR, and administrative claims data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Managed IRB submissions and grant proposals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Canada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2018 – Oct 2019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systematic/targeted literature reviews and meta-analyses of renal therapies for regulatory submissions to Health Canada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sample size and statistical analysis plans for observational studies, budget impact models, network meta-analyses, and cluster-randomized pragmatic trials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Evidence-Based Medical Analyst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2015 – Jan 2018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comparative effectiveness research on dialysis therapies, cardiorenal drugs, and devices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publication of peer-reviewed manuscripts, research reports, and scientific posters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EDUCATION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Master of Public Health, Biostatistics &amp; Epidemiology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Boston University School of Public Health (2013–2015)</w:t>
      </w: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Bachelor of Technology, Chemical Engineering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Anna University, Chennai, India (2009–2013)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AWARDS &amp; RECOGNITION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Most Valuable Player Award, Fresenius Medical Care Global Marketing Inc. (2021)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Best Paper Award, PharmaSUG Conference, Seattle (2018)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Award for Excellence, Fresenius Medical Care North America (2016, 2019)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