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Strategic real-world evidence and HEOR leader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leading cross-functional teams, managing external vendor partnerships, and translating real-world data into actionable insights for regulators, payers, and HCPs.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Non-Interventional Study Design</w:t>
      </w:r>
      <w:r>
        <w:rPr>
          <w:rFonts w:ascii="Calibri" w:hAnsi="Calibri"/>
          <w:color w:val="1A1A1A"/>
          <w:sz w:val="20"/>
        </w:rPr>
        <w:t xml:space="preserve">          •  Cross-Functional Team Leadership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Payer &amp; HTA Presentations</w:t>
      </w:r>
      <w:r>
        <w:rPr>
          <w:rFonts w:ascii="Calibri" w:hAnsi="Calibri"/>
          <w:color w:val="1A1A1A"/>
          <w:sz w:val="20"/>
        </w:rPr>
        <w:t xml:space="preserve">          •  Real-World Data Platforms (Aetion, IQVIA, MarketScan)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Publication Strategy</w:t>
      </w:r>
      <w:r>
        <w:rPr>
          <w:rFonts w:ascii="Calibri" w:hAnsi="Calibri"/>
          <w:color w:val="1A1A1A"/>
          <w:sz w:val="20"/>
        </w:rPr>
        <w:t xml:space="preserve">          •  Patient Preference Studies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Claims Data &amp; EMR Analysis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external engagement as ISPOR Methods Advisory member; provided recommendations on study design methodology for observational studies, HEOR, and epidemiological modeling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