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RWE/HEOR and Medical Affairs evidence-generation leader with deep experience designing and executing global observational programs, registry/claims/EMR analyses, and publication strategies to support product value narratives and medical strategy. Known for cross-functional leadership, rigorous methods, and translating data into actionable insights for internal and external stakeholders.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Medical Affairs Evidence Generation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Observational Study Design &amp; Execution</w:t>
      </w:r>
      <w:r>
        <w:rPr>
          <w:rFonts w:ascii="Calibri" w:hAnsi="Calibri"/>
          <w:color w:val="1A1A1A"/>
          <w:sz w:val="20"/>
        </w:rPr>
        <w:t xml:space="preserve">          •  HEOR &amp; Value Evidence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Leadership (MA, Clin Dev, Safety, Stats)</w:t>
      </w:r>
      <w:r>
        <w:rPr>
          <w:rFonts w:ascii="Calibri" w:hAnsi="Calibri"/>
          <w:color w:val="1A1A1A"/>
          <w:sz w:val="20"/>
        </w:rPr>
        <w:t xml:space="preserve">          •  External Scientific Engagement (ISPOR/AMCP)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Publications &amp; Scientific Communications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Assess research gaps across key partners and disease areas to determine proactive observational research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disease natural history and epidemiology insights to support business development, mergers, and acquisitions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Trained junior scientists on Canadian kidney registry analysis and real-time data visualization using SAS, Tableau, and Adobe Creative Cloud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Kendrick, Parameswaran, et al. 2019. One-Year Historical Cohort Study of Sucroferric Oxyhydroxide in Patients on Maintenance Hemodialysis. Journal of Renal Nutrition, 29(5), pp.428-437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Parameswaran, et al. 2018. Improvements in Serum Phosphorus and Pill Burden in Peritoneal Dialysis Patients Treated with Sucroferric Oxyhydroxide. American Journal of Nephrology, 47(3), pp.153-161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