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ecutive-summary-csci-164-final-project"/>
    <w:p>
      <w:pPr>
        <w:pStyle w:val="Heading1"/>
      </w:pPr>
      <w:r>
        <w:t xml:space="preserve">Executive Summary — CSCI 164 Final Project</w:t>
      </w:r>
    </w:p>
    <w:p>
      <w:pPr>
        <w:pStyle w:val="FirstParagraph"/>
      </w:pPr>
      <w:r>
        <w:rPr>
          <w:b/>
          <w:bCs/>
        </w:rPr>
        <w:t xml:space="preserve">Authors:</w:t>
      </w:r>
      <w:r>
        <w:t xml:space="preserve"> </w:t>
      </w:r>
      <w:r>
        <w:t xml:space="preserve">Tanay Malavia, Darpan Attri, Andres Ramos, Harika Yendapalli</w:t>
      </w:r>
      <w:r>
        <w:t xml:space="preserve"> </w:t>
      </w:r>
      <w:r>
        <w:rPr>
          <w:b/>
          <w:bCs/>
        </w:rPr>
        <w:t xml:space="preserve">Course:</w:t>
      </w:r>
      <w:r>
        <w:t xml:space="preserve"> </w:t>
      </w:r>
      <w:r>
        <w:t xml:space="preserve">CSCI 164 — Artificial Intelligence, Spring 2026</w:t>
      </w:r>
      <w:r>
        <w:t xml:space="preserve"> </w:t>
      </w:r>
      <w:r>
        <w:rPr>
          <w:b/>
          <w:bCs/>
        </w:rPr>
        <w:t xml:space="preserve">Date:</w:t>
      </w:r>
      <w:r>
        <w:t xml:space="preserve"> </w:t>
      </w:r>
      <w:r>
        <w:t xml:space="preserve">April 2026</w:t>
      </w:r>
    </w:p>
    <w:p>
      <w:r>
        <w:pict>
          <v:rect style="width:0;height:1.5pt" o:hralign="center" o:hrstd="t" o:hr="t"/>
        </w:pict>
      </w:r>
    </w:p>
    <w:bookmarkStart w:id="9" w:name="introduction-12-page"/>
    <w:p>
      <w:pPr>
        <w:pStyle w:val="Heading2"/>
      </w:pPr>
      <w:r>
        <w:t xml:space="preserve">1. Introduction (1/2 page)</w:t>
      </w:r>
    </w:p>
    <w:p>
      <w:pPr>
        <w:pStyle w:val="Compact"/>
        <w:numPr>
          <w:ilvl w:val="0"/>
          <w:numId w:val="1001"/>
        </w:numPr>
      </w:pPr>
      <w:r>
        <w:t xml:space="preserve">Problem: build and compare supervised ML models on two datasets.</w:t>
      </w:r>
    </w:p>
    <w:p>
      <w:pPr>
        <w:pStyle w:val="Compact"/>
        <w:numPr>
          <w:ilvl w:val="0"/>
          <w:numId w:val="1001"/>
        </w:numPr>
      </w:pPr>
      <w:r>
        <w:t xml:space="preserve">Datasets selected: Titanic (classification), California Housing (regression).</w:t>
      </w:r>
    </w:p>
    <w:p>
      <w:pPr>
        <w:pStyle w:val="Compact"/>
        <w:numPr>
          <w:ilvl w:val="0"/>
          <w:numId w:val="1001"/>
        </w:numPr>
      </w:pPr>
      <w:r>
        <w:t xml:space="preserve">Why these: small, well-documented, strong prior-work benchmarks, cover both classification and regression.</w:t>
      </w:r>
    </w:p>
    <w:bookmarkEnd w:id="9"/>
    <w:bookmarkStart w:id="12" w:name="datasets-1-page"/>
    <w:p>
      <w:pPr>
        <w:pStyle w:val="Heading2"/>
      </w:pPr>
      <w:r>
        <w:t xml:space="preserve">2. Datasets (1 page)</w:t>
      </w:r>
    </w:p>
    <w:bookmarkStart w:id="10" w:name="titanic"/>
    <w:p>
      <w:pPr>
        <w:pStyle w:val="Heading3"/>
      </w:pPr>
      <w:r>
        <w:t xml:space="preserve">2.1 Titanic</w:t>
      </w:r>
    </w:p>
    <w:p>
      <w:pPr>
        <w:pStyle w:val="Compact"/>
        <w:numPr>
          <w:ilvl w:val="0"/>
          <w:numId w:val="1002"/>
        </w:numPr>
      </w:pPr>
      <w:r>
        <w:t xml:space="preserve">Source: Kaggle competition</w:t>
      </w:r>
      <w:r>
        <w:t xml:space="preserve"> </w:t>
      </w:r>
      <w:r>
        <w:rPr>
          <w:rStyle w:val="VerbatimChar"/>
        </w:rPr>
        <w:t xml:space="preserve">titanic</w:t>
      </w:r>
      <w:r>
        <w:t xml:space="preserve"> </w:t>
      </w:r>
      <w:r>
        <w:t xml:space="preserve">— 891 rows, 11 features.</w:t>
      </w:r>
    </w:p>
    <w:p>
      <w:pPr>
        <w:pStyle w:val="Compact"/>
        <w:numPr>
          <w:ilvl w:val="0"/>
          <w:numId w:val="1002"/>
        </w:numPr>
      </w:pPr>
      <w:r>
        <w:t xml:space="preserve">Features:</w:t>
      </w:r>
      <w:r>
        <w:t xml:space="preserve"> </w:t>
      </w:r>
      <w:r>
        <w:rPr>
          <w:rStyle w:val="VerbatimChar"/>
        </w:rPr>
        <w:t xml:space="preserve">Pclass</w:t>
      </w:r>
      <w:r>
        <w:t xml:space="preserve">,</w:t>
      </w:r>
      <w:r>
        <w:t xml:space="preserve"> </w:t>
      </w:r>
      <w:r>
        <w:rPr>
          <w:rStyle w:val="VerbatimChar"/>
        </w:rPr>
        <w:t xml:space="preserve">Sex</w:t>
      </w:r>
      <w:r>
        <w:t xml:space="preserve">,</w:t>
      </w:r>
      <w:r>
        <w:t xml:space="preserve"> </w:t>
      </w:r>
      <w:r>
        <w:rPr>
          <w:rStyle w:val="VerbatimChar"/>
        </w:rPr>
        <w:t xml:space="preserve">Age</w:t>
      </w:r>
      <w:r>
        <w:t xml:space="preserve">,</w:t>
      </w:r>
      <w:r>
        <w:t xml:space="preserve"> </w:t>
      </w:r>
      <w:r>
        <w:rPr>
          <w:rStyle w:val="VerbatimChar"/>
        </w:rPr>
        <w:t xml:space="preserve">SibSp</w:t>
      </w:r>
      <w:r>
        <w:t xml:space="preserve">,</w:t>
      </w:r>
      <w:r>
        <w:t xml:space="preserve"> </w:t>
      </w:r>
      <w:r>
        <w:rPr>
          <w:rStyle w:val="VerbatimChar"/>
        </w:rPr>
        <w:t xml:space="preserve">Parch</w:t>
      </w:r>
      <w:r>
        <w:t xml:space="preserve">,</w:t>
      </w:r>
      <w:r>
        <w:t xml:space="preserve"> </w:t>
      </w:r>
      <w:r>
        <w:rPr>
          <w:rStyle w:val="VerbatimChar"/>
        </w:rPr>
        <w:t xml:space="preserve">Fare</w:t>
      </w:r>
      <w:r>
        <w:t xml:space="preserve">,</w:t>
      </w:r>
      <w:r>
        <w:t xml:space="preserve"> </w:t>
      </w:r>
      <w:r>
        <w:rPr>
          <w:rStyle w:val="VerbatimChar"/>
        </w:rPr>
        <w:t xml:space="preserve">Embarked</w:t>
      </w:r>
      <w:r>
        <w:t xml:space="preserve">, etc.</w:t>
      </w:r>
    </w:p>
    <w:p>
      <w:pPr>
        <w:pStyle w:val="Compact"/>
        <w:numPr>
          <w:ilvl w:val="0"/>
          <w:numId w:val="1002"/>
        </w:numPr>
      </w:pPr>
      <w:r>
        <w:t xml:space="preserve">Target:</w:t>
      </w:r>
      <w:r>
        <w:t xml:space="preserve"> </w:t>
      </w:r>
      <w:r>
        <w:rPr>
          <w:rStyle w:val="VerbatimChar"/>
        </w:rPr>
        <w:t xml:space="preserve">Survived</w:t>
      </w:r>
      <w:r>
        <w:t xml:space="preserve"> </w:t>
      </w:r>
      <w:r>
        <w:t xml:space="preserve">(0/1).</w:t>
      </w:r>
    </w:p>
    <w:p>
      <w:pPr>
        <w:pStyle w:val="Compact"/>
        <w:numPr>
          <w:ilvl w:val="0"/>
          <w:numId w:val="1002"/>
        </w:numPr>
      </w:pPr>
      <w:r>
        <w:t xml:space="preserve">Preprocessing: drop ID/Name/Ticket/Cabin; median-impute</w:t>
      </w:r>
      <w:r>
        <w:t xml:space="preserve"> </w:t>
      </w:r>
      <w:r>
        <w:rPr>
          <w:rStyle w:val="VerbatimChar"/>
        </w:rPr>
        <w:t xml:space="preserve">Age</w:t>
      </w:r>
      <w:r>
        <w:t xml:space="preserve">; mode-impute</w:t>
      </w:r>
      <w:r>
        <w:t xml:space="preserve"> </w:t>
      </w:r>
      <w:r>
        <w:rPr>
          <w:rStyle w:val="VerbatimChar"/>
        </w:rPr>
        <w:t xml:space="preserve">Embarked</w:t>
      </w:r>
      <w:r>
        <w:t xml:space="preserve">; one-hot encode categoricals; standard-scale numerics.</w:t>
      </w:r>
    </w:p>
    <w:bookmarkEnd w:id="10"/>
    <w:bookmarkStart w:id="11" w:name="california-housing"/>
    <w:p>
      <w:pPr>
        <w:pStyle w:val="Heading3"/>
      </w:pPr>
      <w:r>
        <w:t xml:space="preserve">2.2 California Housing</w:t>
      </w:r>
    </w:p>
    <w:p>
      <w:pPr>
        <w:pStyle w:val="Compact"/>
        <w:numPr>
          <w:ilvl w:val="0"/>
          <w:numId w:val="1003"/>
        </w:numPr>
      </w:pPr>
      <w:r>
        <w:t xml:space="preserve">Source:</w:t>
      </w:r>
      <w:r>
        <w:t xml:space="preserve"> </w:t>
      </w:r>
      <w:r>
        <w:rPr>
          <w:rStyle w:val="VerbatimChar"/>
        </w:rPr>
        <w:t xml:space="preserve">sklearn.datasets.fetch_california_housing</w:t>
      </w:r>
      <w:r>
        <w:t xml:space="preserve"> </w:t>
      </w:r>
      <w:r>
        <w:t xml:space="preserve">(Pace &amp; Barry 1997) — 20,640 rows, 8 features.</w:t>
      </w:r>
    </w:p>
    <w:p>
      <w:pPr>
        <w:pStyle w:val="Compact"/>
        <w:numPr>
          <w:ilvl w:val="0"/>
          <w:numId w:val="1003"/>
        </w:numPr>
      </w:pPr>
      <w:r>
        <w:t xml:space="preserve">Features: median income, house age, rooms, bedrooms, population, occupancy, lat/lon.</w:t>
      </w:r>
    </w:p>
    <w:p>
      <w:pPr>
        <w:pStyle w:val="Compact"/>
        <w:numPr>
          <w:ilvl w:val="0"/>
          <w:numId w:val="1003"/>
        </w:numPr>
      </w:pPr>
      <w:r>
        <w:t xml:space="preserve">Target:</w:t>
      </w:r>
      <w:r>
        <w:t xml:space="preserve"> </w:t>
      </w:r>
      <w:r>
        <w:rPr>
          <w:rStyle w:val="VerbatimChar"/>
        </w:rPr>
        <w:t xml:space="preserve">MedHouseVal</w:t>
      </w:r>
      <w:r>
        <w:t xml:space="preserve"> </w:t>
      </w:r>
      <w:r>
        <w:t xml:space="preserve">($100k units).</w:t>
      </w:r>
    </w:p>
    <w:p>
      <w:pPr>
        <w:pStyle w:val="Compact"/>
        <w:numPr>
          <w:ilvl w:val="0"/>
          <w:numId w:val="1003"/>
        </w:numPr>
      </w:pPr>
      <w:r>
        <w:t xml:space="preserve">Preprocessing: no missing values; StandardScaler for linear/MLP models.</w:t>
      </w:r>
    </w:p>
    <w:bookmarkEnd w:id="11"/>
    <w:bookmarkEnd w:id="12"/>
    <w:bookmarkStart w:id="13" w:name="methods-1-page"/>
    <w:p>
      <w:pPr>
        <w:pStyle w:val="Heading2"/>
      </w:pPr>
      <w:r>
        <w:t xml:space="preserve">3. Methods (1 page)</w:t>
      </w:r>
    </w:p>
    <w:tbl>
      <w:tblPr>
        <w:tblStyle w:val="Table"/>
        <w:tblW w:type="pct" w:w="5000"/>
        <w:tblLayout w:type="fixed"/>
        <w:tblLook w:firstRow="1" w:lastRow="0" w:firstColumn="0" w:lastColumn="0" w:noHBand="0" w:noVBand="0" w:val="0020"/>
      </w:tblPr>
      <w:tblGrid>
        <w:gridCol w:w="1033"/>
        <w:gridCol w:w="2410"/>
        <w:gridCol w:w="2754"/>
        <w:gridCol w:w="1721"/>
      </w:tblGrid>
      <w:tr>
        <w:trPr>
          <w:tblHeader w:val="on"/>
        </w:trPr>
        <w:tc>
          <w:tcPr/>
          <w:p>
            <w:pPr>
              <w:pStyle w:val="Compact"/>
            </w:pPr>
            <w:r>
              <w:t xml:space="preserve">Dataset</w:t>
            </w:r>
          </w:p>
        </w:tc>
        <w:tc>
          <w:tcPr/>
          <w:p>
            <w:pPr>
              <w:pStyle w:val="Compact"/>
            </w:pPr>
            <w:r>
              <w:t xml:space="preserve">Model 1</w:t>
            </w:r>
          </w:p>
        </w:tc>
        <w:tc>
          <w:tcPr/>
          <w:p>
            <w:pPr>
              <w:pStyle w:val="Compact"/>
            </w:pPr>
            <w:r>
              <w:t xml:space="preserve">Model 2</w:t>
            </w:r>
          </w:p>
        </w:tc>
        <w:tc>
          <w:tcPr/>
          <w:p>
            <w:pPr>
              <w:pStyle w:val="Compact"/>
            </w:pPr>
            <w:r>
              <w:t xml:space="preserve">Model 3</w:t>
            </w:r>
          </w:p>
        </w:tc>
      </w:tr>
      <w:tr>
        <w:tc>
          <w:tcPr/>
          <w:p>
            <w:pPr>
              <w:pStyle w:val="Compact"/>
            </w:pPr>
            <w:r>
              <w:t xml:space="preserve">Titanic</w:t>
            </w:r>
          </w:p>
        </w:tc>
        <w:tc>
          <w:tcPr/>
          <w:p>
            <w:pPr>
              <w:pStyle w:val="Compact"/>
            </w:pPr>
            <w:r>
              <w:t xml:space="preserve">Logistic Regression</w:t>
            </w:r>
          </w:p>
        </w:tc>
        <w:tc>
          <w:tcPr/>
          <w:p>
            <w:pPr>
              <w:pStyle w:val="Compact"/>
            </w:pPr>
            <w:r>
              <w:t xml:space="preserve">k-NN</w:t>
            </w:r>
          </w:p>
        </w:tc>
        <w:tc>
          <w:tcPr/>
          <w:p>
            <w:pPr>
              <w:pStyle w:val="Compact"/>
            </w:pPr>
            <w:r>
              <w:t xml:space="preserve">Decision Tree</w:t>
            </w:r>
          </w:p>
        </w:tc>
      </w:tr>
      <w:tr>
        <w:tc>
          <w:tcPr/>
          <w:p>
            <w:pPr>
              <w:pStyle w:val="Compact"/>
            </w:pPr>
            <w:r>
              <w:t xml:space="preserve">CA</w:t>
            </w:r>
          </w:p>
        </w:tc>
        <w:tc>
          <w:tcPr/>
          <w:p>
            <w:pPr>
              <w:pStyle w:val="Compact"/>
            </w:pPr>
            <w:r>
              <w:t xml:space="preserve">Linear Regression</w:t>
            </w:r>
          </w:p>
        </w:tc>
        <w:tc>
          <w:tcPr/>
          <w:p>
            <w:pPr>
              <w:pStyle w:val="Compact"/>
            </w:pPr>
            <w:r>
              <w:t xml:space="preserve">Decision Tree Regressor</w:t>
            </w:r>
          </w:p>
        </w:tc>
        <w:tc>
          <w:tcPr/>
          <w:p>
            <w:pPr>
              <w:pStyle w:val="Compact"/>
            </w:pPr>
            <w:r>
              <w:t xml:space="preserve">MLP Regressor</w:t>
            </w:r>
          </w:p>
        </w:tc>
      </w:tr>
    </w:tbl>
    <w:p>
      <w:pPr>
        <w:pStyle w:val="Compact"/>
        <w:numPr>
          <w:ilvl w:val="0"/>
          <w:numId w:val="1004"/>
        </w:numPr>
      </w:pPr>
      <w:r>
        <w:rPr>
          <w:b/>
          <w:bCs/>
        </w:rPr>
        <w:t xml:space="preserve">Validation:</w:t>
      </w:r>
      <w:r>
        <w:t xml:space="preserve"> </w:t>
      </w:r>
      <w:r>
        <w:t xml:space="preserve">80/20 train/test split, 5-fold CV on training data.</w:t>
      </w:r>
    </w:p>
    <w:p>
      <w:pPr>
        <w:pStyle w:val="Compact"/>
        <w:numPr>
          <w:ilvl w:val="0"/>
          <w:numId w:val="1004"/>
        </w:numPr>
      </w:pPr>
      <w:r>
        <w:rPr>
          <w:b/>
          <w:bCs/>
        </w:rPr>
        <w:t xml:space="preserve">Tuning:</w:t>
      </w:r>
      <w:r>
        <w:t xml:space="preserve"> </w:t>
      </w:r>
      <w:r>
        <w:rPr>
          <w:rStyle w:val="VerbatimChar"/>
        </w:rPr>
        <w:t xml:space="preserve">GridSearchCV</w:t>
      </w:r>
      <w:r>
        <w:t xml:space="preserve"> </w:t>
      </w:r>
      <w:r>
        <w:t xml:space="preserve">over key hyperparameters (C, k, max_depth, hidden_layer_sizes, alpha).</w:t>
      </w:r>
    </w:p>
    <w:p>
      <w:pPr>
        <w:pStyle w:val="Compact"/>
        <w:numPr>
          <w:ilvl w:val="0"/>
          <w:numId w:val="1004"/>
        </w:numPr>
      </w:pPr>
      <w:r>
        <w:rPr>
          <w:b/>
          <w:bCs/>
        </w:rPr>
        <w:t xml:space="preserve">Metrics:</w:t>
      </w:r>
      <w:r>
        <w:t xml:space="preserve"> </w:t>
      </w:r>
      <w:r>
        <w:t xml:space="preserve">classification — accuracy, precision, recall, F1, ROC-AUC; regression — MAE, RMSE, R².</w:t>
      </w:r>
    </w:p>
    <w:bookmarkEnd w:id="13"/>
    <w:bookmarkStart w:id="16" w:name="results-12-pages"/>
    <w:p>
      <w:pPr>
        <w:pStyle w:val="Heading2"/>
      </w:pPr>
      <w:r>
        <w:t xml:space="preserve">4. Results (1–2 pages)</w:t>
      </w:r>
    </w:p>
    <w:bookmarkStart w:id="14" w:name="titanic-1"/>
    <w:p>
      <w:pPr>
        <w:pStyle w:val="Heading3"/>
      </w:pPr>
      <w:r>
        <w:t xml:space="preserve">4.1 Titanic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ROC-AUC</w:t>
            </w:r>
          </w:p>
        </w:tc>
      </w:tr>
      <w:tr>
        <w:tc>
          <w:tcPr/>
          <w:p>
            <w:pPr>
              <w:pStyle w:val="Compact"/>
            </w:pPr>
            <w:r>
              <w:t xml:space="preserve">LogReg</w:t>
            </w:r>
          </w:p>
        </w:tc>
        <w:tc>
          <w:tcPr/>
          <w:p>
            <w:pPr>
              <w:pStyle w:val="Compact"/>
            </w:pPr>
            <w:r>
              <w:t xml:space="preserve">0.7933</w:t>
            </w:r>
          </w:p>
        </w:tc>
        <w:tc>
          <w:tcPr/>
          <w:p>
            <w:pPr>
              <w:pStyle w:val="Compact"/>
            </w:pPr>
            <w:r>
              <w:t xml:space="preserve">0.7759</w:t>
            </w:r>
          </w:p>
        </w:tc>
        <w:tc>
          <w:tcPr/>
          <w:p>
            <w:pPr>
              <w:pStyle w:val="Compact"/>
            </w:pPr>
            <w:r>
              <w:t xml:space="preserve">0.6522</w:t>
            </w:r>
          </w:p>
        </w:tc>
        <w:tc>
          <w:tcPr/>
          <w:p>
            <w:pPr>
              <w:pStyle w:val="Compact"/>
            </w:pPr>
            <w:r>
              <w:t xml:space="preserve">0.7087</w:t>
            </w:r>
          </w:p>
        </w:tc>
        <w:tc>
          <w:tcPr/>
          <w:p>
            <w:pPr>
              <w:pStyle w:val="Compact"/>
            </w:pPr>
            <w:r>
              <w:t xml:space="preserve">0.8472</w:t>
            </w:r>
          </w:p>
        </w:tc>
      </w:tr>
      <w:tr>
        <w:tc>
          <w:tcPr/>
          <w:p>
            <w:pPr>
              <w:pStyle w:val="Compact"/>
            </w:pPr>
            <w:r>
              <w:t xml:space="preserve">kNN</w:t>
            </w:r>
          </w:p>
        </w:tc>
        <w:tc>
          <w:tcPr/>
          <w:p>
            <w:pPr>
              <w:pStyle w:val="Compact"/>
            </w:pPr>
            <w:r>
              <w:t xml:space="preserve">0.7989</w:t>
            </w:r>
          </w:p>
        </w:tc>
        <w:tc>
          <w:tcPr/>
          <w:p>
            <w:pPr>
              <w:pStyle w:val="Compact"/>
            </w:pPr>
            <w:r>
              <w:t xml:space="preserve">0.7797</w:t>
            </w:r>
          </w:p>
        </w:tc>
        <w:tc>
          <w:tcPr/>
          <w:p>
            <w:pPr>
              <w:pStyle w:val="Compact"/>
            </w:pPr>
            <w:r>
              <w:t xml:space="preserve">0.6667</w:t>
            </w:r>
          </w:p>
        </w:tc>
        <w:tc>
          <w:tcPr/>
          <w:p>
            <w:pPr>
              <w:pStyle w:val="Compact"/>
            </w:pPr>
            <w:r>
              <w:t xml:space="preserve">0.7188</w:t>
            </w:r>
          </w:p>
        </w:tc>
        <w:tc>
          <w:tcPr/>
          <w:p>
            <w:pPr>
              <w:pStyle w:val="Compact"/>
            </w:pPr>
            <w:r>
              <w:t xml:space="preserve">0.8489</w:t>
            </w:r>
          </w:p>
        </w:tc>
      </w:tr>
      <w:tr>
        <w:tc>
          <w:tcPr/>
          <w:p>
            <w:pPr>
              <w:pStyle w:val="Compact"/>
            </w:pPr>
            <w:r>
              <w:t xml:space="preserve">Tree</w:t>
            </w:r>
          </w:p>
        </w:tc>
        <w:tc>
          <w:tcPr/>
          <w:p>
            <w:pPr>
              <w:pStyle w:val="Compact"/>
            </w:pPr>
            <w:r>
              <w:t xml:space="preserve">0.7877</w:t>
            </w:r>
          </w:p>
        </w:tc>
        <w:tc>
          <w:tcPr/>
          <w:p>
            <w:pPr>
              <w:pStyle w:val="Compact"/>
            </w:pPr>
            <w:r>
              <w:t xml:space="preserve">0.8163</w:t>
            </w:r>
          </w:p>
        </w:tc>
        <w:tc>
          <w:tcPr/>
          <w:p>
            <w:pPr>
              <w:pStyle w:val="Compact"/>
            </w:pPr>
            <w:r>
              <w:t xml:space="preserve">0.5797</w:t>
            </w:r>
          </w:p>
        </w:tc>
        <w:tc>
          <w:tcPr/>
          <w:p>
            <w:pPr>
              <w:pStyle w:val="Compact"/>
            </w:pPr>
            <w:r>
              <w:t xml:space="preserve">0.6780</w:t>
            </w:r>
          </w:p>
        </w:tc>
        <w:tc>
          <w:tcPr/>
          <w:p>
            <w:pPr>
              <w:pStyle w:val="Compact"/>
            </w:pPr>
            <w:r>
              <w:t xml:space="preserve">0.7827</w:t>
            </w:r>
          </w:p>
        </w:tc>
      </w:tr>
    </w:tbl>
    <w:p>
      <w:pPr>
        <w:pStyle w:val="BodyText"/>
      </w:pPr>
      <w:r>
        <w:rPr>
          <w:b/>
          <w:bCs/>
        </w:rPr>
        <w:t xml:space="preserve">Winner: k-NN</w:t>
      </w:r>
      <w:r>
        <w:t xml:space="preserve"> </w:t>
      </w:r>
      <w:r>
        <w:t xml:space="preserve">— highest accuracy, F1, and ROC-AUC. Logistic Regression is a close second. The Decision Tree has the best precision (0.82) but the worst recall (0.58), meaning it underpredicts survival — a conservative decision boundary that misses too many survivors.</w:t>
      </w:r>
    </w:p>
    <w:p>
      <w:pPr>
        <w:pStyle w:val="BodyText"/>
      </w:pPr>
      <w:r>
        <w:t xml:space="preserve">Figures:</w:t>
      </w:r>
      <w:r>
        <w:t xml:space="preserve"> </w:t>
      </w:r>
      <w:r>
        <w:rPr>
          <w:rStyle w:val="VerbatimChar"/>
        </w:rPr>
        <w:t xml:space="preserve">figures/titanic_confusion.png</w:t>
      </w:r>
      <w:r>
        <w:t xml:space="preserve">,</w:t>
      </w:r>
      <w:r>
        <w:t xml:space="preserve"> </w:t>
      </w:r>
      <w:r>
        <w:rPr>
          <w:rStyle w:val="VerbatimChar"/>
        </w:rPr>
        <w:t xml:space="preserve">figures/titanic_roc.png</w:t>
      </w:r>
      <w:r>
        <w:t xml:space="preserve">.</w:t>
      </w:r>
    </w:p>
    <w:bookmarkEnd w:id="14"/>
    <w:bookmarkStart w:id="15" w:name="california-housing-1"/>
    <w:p>
      <w:pPr>
        <w:pStyle w:val="Heading3"/>
      </w:pPr>
      <w:r>
        <w:t xml:space="preserve">4.2 California Housing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MAE</w:t>
            </w:r>
          </w:p>
        </w:tc>
        <w:tc>
          <w:tcPr/>
          <w:p>
            <w:pPr>
              <w:pStyle w:val="Compact"/>
            </w:pPr>
            <w:r>
              <w:t xml:space="preserve">RMSE</w:t>
            </w:r>
          </w:p>
        </w:tc>
        <w:tc>
          <w:tcPr/>
          <w:p>
            <w:pPr>
              <w:pStyle w:val="Compact"/>
            </w:pPr>
            <w:r>
              <w:t xml:space="preserve">R²</w:t>
            </w:r>
          </w:p>
        </w:tc>
      </w:tr>
      <w:tr>
        <w:tc>
          <w:tcPr/>
          <w:p>
            <w:pPr>
              <w:pStyle w:val="Compact"/>
            </w:pPr>
            <w:r>
              <w:t xml:space="preserve">Linear</w:t>
            </w:r>
          </w:p>
        </w:tc>
        <w:tc>
          <w:tcPr/>
          <w:p>
            <w:pPr>
              <w:pStyle w:val="Compact"/>
            </w:pPr>
            <w:r>
              <w:t xml:space="preserve">0.5332</w:t>
            </w:r>
          </w:p>
        </w:tc>
        <w:tc>
          <w:tcPr/>
          <w:p>
            <w:pPr>
              <w:pStyle w:val="Compact"/>
            </w:pPr>
            <w:r>
              <w:t xml:space="preserve">0.7456</w:t>
            </w:r>
          </w:p>
        </w:tc>
        <w:tc>
          <w:tcPr/>
          <w:p>
            <w:pPr>
              <w:pStyle w:val="Compact"/>
            </w:pPr>
            <w:r>
              <w:t xml:space="preserve">0.5758</w:t>
            </w:r>
          </w:p>
        </w:tc>
      </w:tr>
      <w:tr>
        <w:tc>
          <w:tcPr/>
          <w:p>
            <w:pPr>
              <w:pStyle w:val="Compact"/>
            </w:pPr>
            <w:r>
              <w:t xml:space="preserve">Tree</w:t>
            </w:r>
          </w:p>
        </w:tc>
        <w:tc>
          <w:tcPr/>
          <w:p>
            <w:pPr>
              <w:pStyle w:val="Compact"/>
            </w:pPr>
            <w:r>
              <w:t xml:space="preserve">0.4041</w:t>
            </w:r>
          </w:p>
        </w:tc>
        <w:tc>
          <w:tcPr/>
          <w:p>
            <w:pPr>
              <w:pStyle w:val="Compact"/>
            </w:pPr>
            <w:r>
              <w:t xml:space="preserve">0.5979</w:t>
            </w:r>
          </w:p>
        </w:tc>
        <w:tc>
          <w:tcPr/>
          <w:p>
            <w:pPr>
              <w:pStyle w:val="Compact"/>
            </w:pPr>
            <w:r>
              <w:t xml:space="preserve">0.7272</w:t>
            </w:r>
          </w:p>
        </w:tc>
      </w:tr>
      <w:tr>
        <w:tc>
          <w:tcPr/>
          <w:p>
            <w:pPr>
              <w:pStyle w:val="Compact"/>
            </w:pPr>
            <w:r>
              <w:t xml:space="preserve">MLP</w:t>
            </w:r>
          </w:p>
        </w:tc>
        <w:tc>
          <w:tcPr/>
          <w:p>
            <w:pPr>
              <w:pStyle w:val="Compact"/>
            </w:pPr>
            <w:r>
              <w:t xml:space="preserve">0.3448</w:t>
            </w:r>
          </w:p>
        </w:tc>
        <w:tc>
          <w:tcPr/>
          <w:p>
            <w:pPr>
              <w:pStyle w:val="Compact"/>
            </w:pPr>
            <w:r>
              <w:t xml:space="preserve">0.5100</w:t>
            </w:r>
          </w:p>
        </w:tc>
        <w:tc>
          <w:tcPr/>
          <w:p>
            <w:pPr>
              <w:pStyle w:val="Compact"/>
            </w:pPr>
            <w:r>
              <w:t xml:space="preserve">0.8015</w:t>
            </w:r>
          </w:p>
        </w:tc>
      </w:tr>
    </w:tbl>
    <w:p>
      <w:pPr>
        <w:pStyle w:val="BodyText"/>
      </w:pPr>
      <w:r>
        <w:rPr>
          <w:b/>
          <w:bCs/>
        </w:rPr>
        <w:t xml:space="preserve">Winner: MLP</w:t>
      </w:r>
      <w:r>
        <w:t xml:space="preserve"> </w:t>
      </w:r>
      <w:r>
        <w:t xml:space="preserve">— lowest MAE and RMSE, highest R² by a clear margin. Linear Regression underfits (R² 0.58) because the income-to-value relationship is non-linear and the spatial signal cannot be captured linearly. The Decision Tree is intermediate.</w:t>
      </w:r>
    </w:p>
    <w:p>
      <w:pPr>
        <w:pStyle w:val="BodyText"/>
      </w:pPr>
      <w:r>
        <w:t xml:space="preserve">Figures:</w:t>
      </w:r>
      <w:r>
        <w:t xml:space="preserve"> </w:t>
      </w:r>
      <w:r>
        <w:rPr>
          <w:rStyle w:val="VerbatimChar"/>
        </w:rPr>
        <w:t xml:space="preserve">figures/ca_pred_vs_actual.png</w:t>
      </w:r>
      <w:r>
        <w:t xml:space="preserve">,</w:t>
      </w:r>
      <w:r>
        <w:t xml:space="preserve"> </w:t>
      </w:r>
      <w:r>
        <w:rPr>
          <w:rStyle w:val="VerbatimChar"/>
        </w:rPr>
        <w:t xml:space="preserve">figures/ca_residuals.png</w:t>
      </w:r>
      <w:r>
        <w:t xml:space="preserve">.</w:t>
      </w:r>
    </w:p>
    <w:bookmarkEnd w:id="15"/>
    <w:bookmarkEnd w:id="16"/>
    <w:bookmarkStart w:id="17" w:name="comparison-to-prior-work"/>
    <w:p>
      <w:pPr>
        <w:pStyle w:val="Heading2"/>
      </w:pPr>
      <w:r>
        <w:t xml:space="preserve">5. Comparison to Prior Work</w:t>
      </w:r>
    </w:p>
    <w:p>
      <w:pPr>
        <w:pStyle w:val="FirstParagraph"/>
      </w:pPr>
      <w:r>
        <w:rPr>
          <w:b/>
          <w:bCs/>
        </w:rPr>
        <w:t xml:space="preserve">Titanic.</w:t>
      </w:r>
      <w:r>
        <w:t xml:space="preserve"> </w:t>
      </w:r>
      <w:r>
        <w:t xml:space="preserve">Sehgal’s widely-cited Kaggle notebook</w:t>
      </w:r>
      <w:r>
        <w:t xml:space="preserve"> </w:t>
      </w:r>
      <w:r>
        <w:rPr>
          <w:i/>
          <w:iCs/>
        </w:rPr>
        <w:t xml:space="preserve">Titanic Data Science Solutions</w:t>
      </w:r>
      <w:r>
        <w:t xml:space="preserve"> </w:t>
      </w:r>
      <w:r>
        <w:t xml:space="preserve">reports test accuracies of 0.77–0.84 across Logistic Regression, SVM, and Random Forest. Our tuned k-NN (0.7989) and Logistic Regression (0.7933) fall in the middle of that band. Sehgal’s higher scores come from feature engineering we intentionally omitted — extracting</w:t>
      </w:r>
      <w:r>
        <w:t xml:space="preserve"> </w:t>
      </w:r>
      <w:r>
        <w:rPr>
          <w:rStyle w:val="VerbatimChar"/>
        </w:rPr>
        <w:t xml:space="preserve">Title</w:t>
      </w:r>
      <w:r>
        <w:t xml:space="preserve"> </w:t>
      </w:r>
      <w:r>
        <w:t xml:space="preserve">from</w:t>
      </w:r>
      <w:r>
        <w:t xml:space="preserve"> </w:t>
      </w:r>
      <w:r>
        <w:rPr>
          <w:rStyle w:val="VerbatimChar"/>
        </w:rPr>
        <w:t xml:space="preserve">Name</w:t>
      </w:r>
      <w:r>
        <w:t xml:space="preserve">, binning</w:t>
      </w:r>
      <w:r>
        <w:t xml:space="preserve"> </w:t>
      </w:r>
      <w:r>
        <w:rPr>
          <w:rStyle w:val="VerbatimChar"/>
        </w:rPr>
        <w:t xml:space="preserve">Age</w:t>
      </w:r>
      <w:r>
        <w:t xml:space="preserve">, and engineering a</w:t>
      </w:r>
      <w:r>
        <w:t xml:space="preserve"> </w:t>
      </w:r>
      <w:r>
        <w:rPr>
          <w:rStyle w:val="VerbatimChar"/>
        </w:rPr>
        <w:t xml:space="preserve">FamilySize</w:t>
      </w:r>
      <w:r>
        <w:t xml:space="preserve"> </w:t>
      </w:r>
      <w:r>
        <w:t xml:space="preserve">feature — plus ensemble methods not in our scope.</w:t>
      </w:r>
    </w:p>
    <w:p>
      <w:pPr>
        <w:pStyle w:val="BodyText"/>
      </w:pPr>
      <w:r>
        <w:rPr>
          <w:b/>
          <w:bCs/>
        </w:rPr>
        <w:t xml:space="preserve">California Housing.</w:t>
      </w:r>
      <w:r>
        <w:t xml:space="preserve"> </w:t>
      </w:r>
      <w:r>
        <w:t xml:space="preserve">Pace &amp; Barry (1997) introduced this dataset and reported R² ≈ 0.65 using a sparse spatial autoregression. Modern sklearn benchmarks using</w:t>
      </w:r>
      <w:r>
        <w:t xml:space="preserve"> </w:t>
      </w:r>
      <w:r>
        <w:rPr>
          <w:rStyle w:val="VerbatimChar"/>
        </w:rPr>
        <w:t xml:space="preserve">HistGradientBoostingRegressor</w:t>
      </w:r>
      <w:r>
        <w:t xml:space="preserve"> </w:t>
      </w:r>
      <w:r>
        <w:t xml:space="preserve">report R² ≈ 0.80–0.85. Our MLP (R² 0.8015) matches the modern benchmark band and substantially exceeds the 1997 baseline. The gap comes from the MLP’s ability to capture the non-linear income-to-value relationship and to use latitude/longitude directly rather than through hand-crafted neighbor features.</w:t>
      </w:r>
    </w:p>
    <w:bookmarkEnd w:id="17"/>
    <w:bookmarkStart w:id="18" w:name="discussion"/>
    <w:p>
      <w:pPr>
        <w:pStyle w:val="Heading2"/>
      </w:pPr>
      <w:r>
        <w:t xml:space="preserve">6. Discussion</w:t>
      </w:r>
    </w:p>
    <w:p>
      <w:pPr>
        <w:pStyle w:val="FirstParagraph"/>
      </w:pPr>
      <w:r>
        <w:rPr>
          <w:b/>
          <w:bCs/>
        </w:rPr>
        <w:t xml:space="preserve">Why k-NN edged out on Titanic.</w:t>
      </w:r>
      <w:r>
        <w:t xml:space="preserve"> </w:t>
      </w:r>
      <w:r>
        <w:t xml:space="preserve">The dataset is small (891 rows) and dominated by a few strong signals (</w:t>
      </w:r>
      <w:r>
        <w:rPr>
          <w:rStyle w:val="VerbatimChar"/>
        </w:rPr>
        <w:t xml:space="preserve">Sex</w:t>
      </w:r>
      <w:r>
        <w:t xml:space="preserve">,</w:t>
      </w:r>
      <w:r>
        <w:t xml:space="preserve"> </w:t>
      </w:r>
      <w:r>
        <w:rPr>
          <w:rStyle w:val="VerbatimChar"/>
        </w:rPr>
        <w:t xml:space="preserve">Pclass</w:t>
      </w:r>
      <w:r>
        <w:t xml:space="preserve">,</w:t>
      </w:r>
      <w:r>
        <w:t xml:space="preserve"> </w:t>
      </w:r>
      <w:r>
        <w:rPr>
          <w:rStyle w:val="VerbatimChar"/>
        </w:rPr>
        <w:t xml:space="preserve">Age</w:t>
      </w:r>
      <w:r>
        <w:t xml:space="preserve">). k-NN with scaled features captures local structure without overfitting. The Decision Tree’s high precision / low recall suggests it partitions aggressively on</w:t>
      </w:r>
      <w:r>
        <w:t xml:space="preserve"> </w:t>
      </w:r>
      <w:r>
        <w:rPr>
          <w:rStyle w:val="VerbatimChar"/>
        </w:rPr>
        <w:t xml:space="preserve">Sex</w:t>
      </w:r>
      <w:r>
        <w:t xml:space="preserve"> </w:t>
      </w:r>
      <w:r>
        <w:t xml:space="preserve">and then over-prunes the</w:t>
      </w:r>
      <w:r>
        <w:t xml:space="preserve"> </w:t>
      </w:r>
      <w:r>
        <w:t xml:space="preserve">“survived”</w:t>
      </w:r>
      <w:r>
        <w:t xml:space="preserve"> </w:t>
      </w:r>
      <w:r>
        <w:t xml:space="preserve">branch — a typical behavior when</w:t>
      </w:r>
      <w:r>
        <w:t xml:space="preserve"> </w:t>
      </w:r>
      <w:r>
        <w:rPr>
          <w:rStyle w:val="VerbatimChar"/>
        </w:rPr>
        <w:t xml:space="preserve">max_depth</w:t>
      </w:r>
      <w:r>
        <w:t xml:space="preserve"> </w:t>
      </w:r>
      <w:r>
        <w:t xml:space="preserve">is limited but class imbalance pulls predictions toward the majority.</w:t>
      </w:r>
    </w:p>
    <w:p>
      <w:pPr>
        <w:pStyle w:val="BodyText"/>
      </w:pPr>
      <w:r>
        <w:rPr>
          <w:b/>
          <w:bCs/>
        </w:rPr>
        <w:t xml:space="preserve">Why MLP won on California Housing.</w:t>
      </w:r>
      <w:r>
        <w:t xml:space="preserve"> </w:t>
      </w:r>
      <w:r>
        <w:rPr>
          <w:rStyle w:val="VerbatimChar"/>
        </w:rPr>
        <w:t xml:space="preserve">MedInc</w:t>
      </w:r>
      <w:r>
        <w:t xml:space="preserve"> </w:t>
      </w:r>
      <w:r>
        <w:t xml:space="preserve">is the strongest predictor but its relationship to</w:t>
      </w:r>
      <w:r>
        <w:t xml:space="preserve"> </w:t>
      </w:r>
      <w:r>
        <w:rPr>
          <w:rStyle w:val="VerbatimChar"/>
        </w:rPr>
        <w:t xml:space="preserve">MedHouseVal</w:t>
      </w:r>
      <w:r>
        <w:t xml:space="preserve"> </w:t>
      </w:r>
      <w:r>
        <w:t xml:space="preserve">is non-linear (diminishing returns at the top end). Linear Regression cannot model this curvature — its R² of 0.58 is effectively a ceiling for purely linear methods. The Decision Tree can model non-linearity but splits are axis-aligned and greedy. The MLP’s hidden layers approximate smooth non-linear interactions (e.g. income × location), which is why RMSE drops from 0.60 → 0.51.</w:t>
      </w:r>
    </w:p>
    <w:p>
      <w:pPr>
        <w:pStyle w:val="BodyText"/>
      </w:pPr>
      <w:r>
        <w:rPr>
          <w:b/>
          <w:bCs/>
        </w:rPr>
        <w:t xml:space="preserve">Limitations.</w:t>
      </w:r>
      <w:r>
        <w:t xml:space="preserve"> </w:t>
      </w:r>
      <w:r>
        <w:t xml:space="preserve">- Titanic is small; the 80/20 split leaves only ~178 test samples, so metric differences of 1–2 points are within noise.</w:t>
      </w:r>
      <w:r>
        <w:t xml:space="preserve"> </w:t>
      </w:r>
      <w:r>
        <w:t xml:space="preserve">- California target is capped at $500k, which shows up as a flat band at the top of the predicted-vs-actual scatter and inflates residuals on high-value homes.</w:t>
      </w:r>
      <w:r>
        <w:t xml:space="preserve"> </w:t>
      </w:r>
      <w:r>
        <w:t xml:space="preserve">- We omitted ensemble methods per the rubric’s focus on classical single models.</w:t>
      </w:r>
    </w:p>
    <w:p>
      <w:pPr>
        <w:pStyle w:val="BodyText"/>
      </w:pPr>
      <w:r>
        <w:rPr>
          <w:b/>
          <w:bCs/>
        </w:rPr>
        <w:t xml:space="preserve">Real-world relevance.</w:t>
      </w:r>
      <w:r>
        <w:t xml:space="preserve"> </w:t>
      </w:r>
      <w:r>
        <w:t xml:space="preserve">Both tasks mirror high-stakes applied settings — risk scoring for insurance and mortgage valuation for lending. The Titanic model’s heavy dependence on</w:t>
      </w:r>
      <w:r>
        <w:t xml:space="preserve"> </w:t>
      </w:r>
      <w:r>
        <w:rPr>
          <w:rStyle w:val="VerbatimChar"/>
        </w:rPr>
        <w:t xml:space="preserve">Sex</w:t>
      </w:r>
      <w:r>
        <w:t xml:space="preserve"> </w:t>
      </w:r>
      <w:r>
        <w:t xml:space="preserve">and</w:t>
      </w:r>
      <w:r>
        <w:t xml:space="preserve"> </w:t>
      </w:r>
      <w:r>
        <w:rPr>
          <w:rStyle w:val="VerbatimChar"/>
        </w:rPr>
        <w:t xml:space="preserve">Pclass</w:t>
      </w:r>
      <w:r>
        <w:t xml:space="preserve"> </w:t>
      </w:r>
      <w:r>
        <w:t xml:space="preserve">is a reminder that models fit to historical outcomes inherit the biases of the situation that generated them.</w:t>
      </w:r>
    </w:p>
    <w:bookmarkEnd w:id="18"/>
    <w:bookmarkStart w:id="19" w:name="conclusion"/>
    <w:p>
      <w:pPr>
        <w:pStyle w:val="Heading2"/>
      </w:pPr>
      <w:r>
        <w:t xml:space="preserve">7. Conclusion</w:t>
      </w:r>
    </w:p>
    <w:p>
      <w:pPr>
        <w:pStyle w:val="FirstParagraph"/>
      </w:pPr>
      <w:r>
        <w:t xml:space="preserve">k-NN was the best classifier on Titanic (F1 0.72, ROC-AUC 0.85), and MLP was the best regressor on California Housing (R² 0.80). Both results are competitive with published benchmarks on these datasets. Natural next steps would be (i) feature engineering on Titanic (title, family size, cabin letter), (ii) ensemble methods like Random Forest or Gradient Boosting, and (iii) explicit spatial features for California Housing.</w:t>
      </w:r>
    </w:p>
    <w:bookmarkEnd w:id="19"/>
    <w:bookmarkStart w:id="20" w:name="references"/>
    <w:p>
      <w:pPr>
        <w:pStyle w:val="Heading2"/>
      </w:pPr>
      <w:r>
        <w:t xml:space="preserve">8. References</w:t>
      </w:r>
    </w:p>
    <w:p>
      <w:pPr>
        <w:pStyle w:val="FirstParagraph"/>
      </w:pPr>
      <w:r>
        <w:rPr>
          <w:b/>
          <w:bCs/>
        </w:rPr>
        <w:t xml:space="preserve">Titanic dataset</w:t>
      </w:r>
      <w:r>
        <w:t xml:space="preserve"> </w:t>
      </w:r>
      <w:r>
        <w:t xml:space="preserve">- Kaggle.</w:t>
      </w:r>
      <w:r>
        <w:t xml:space="preserve"> </w:t>
      </w:r>
      <w:r>
        <w:rPr>
          <w:i/>
          <w:iCs/>
        </w:rPr>
        <w:t xml:space="preserve">Titanic — Machine Learning from Disaster</w:t>
      </w:r>
      <w:r>
        <w:t xml:space="preserve">. https://www.kaggle.com/c/titanic</w:t>
      </w:r>
      <w:r>
        <w:t xml:space="preserve"> </w:t>
      </w:r>
      <w:r>
        <w:t xml:space="preserve">- Sehgal, M.</w:t>
      </w:r>
      <w:r>
        <w:t xml:space="preserve"> </w:t>
      </w:r>
      <w:r>
        <w:rPr>
          <w:i/>
          <w:iCs/>
        </w:rPr>
        <w:t xml:space="preserve">Titanic Data Science Solutions</w:t>
      </w:r>
      <w:r>
        <w:t xml:space="preserve">. Kaggle, https://www.kaggle.com/code/startupsci/titanic-data-science-solutions</w:t>
      </w:r>
    </w:p>
    <w:p>
      <w:pPr>
        <w:pStyle w:val="BodyText"/>
      </w:pPr>
      <w:r>
        <w:rPr>
          <w:b/>
          <w:bCs/>
        </w:rPr>
        <w:t xml:space="preserve">California Housing dataset</w:t>
      </w:r>
      <w:r>
        <w:t xml:space="preserve"> </w:t>
      </w:r>
      <w:r>
        <w:t xml:space="preserve">- Pace, R. K., &amp; Barry, R. (1997). Sparse spatial autoregressions.</w:t>
      </w:r>
      <w:r>
        <w:t xml:space="preserve"> </w:t>
      </w:r>
      <w:r>
        <w:rPr>
          <w:i/>
          <w:iCs/>
        </w:rPr>
        <w:t xml:space="preserve">Statistics &amp; Probability Letters</w:t>
      </w:r>
      <w:r>
        <w:t xml:space="preserve">, 33(3), 291–297. — original paper introducing the dataset.</w:t>
      </w:r>
      <w:r>
        <w:t xml:space="preserve"> </w:t>
      </w:r>
      <w:r>
        <w:t xml:space="preserve">- scikit-learn developers.</w:t>
      </w:r>
      <w:r>
        <w:t xml:space="preserve"> </w:t>
      </w:r>
      <w:r>
        <w:rPr>
          <w:rStyle w:val="VerbatimChar"/>
          <w:i/>
          <w:iCs/>
        </w:rPr>
        <w:t xml:space="preserve">sklearn.datasets.fetch_california_housing</w:t>
      </w:r>
      <w:r>
        <w:t xml:space="preserve"> </w:t>
      </w:r>
      <w:r>
        <w:t xml:space="preserve">— API documentation. https://scikit-learn.org/stable/modules/generated/sklearn.datasets.fetch_california_housing.html</w:t>
      </w:r>
      <w:r>
        <w:t xml:space="preserve"> </w:t>
      </w:r>
      <w:r>
        <w:t xml:space="preserve">- StatLib archive, Carnegie Mellon University.</w:t>
      </w:r>
      <w:r>
        <w:t xml:space="preserve"> </w:t>
      </w:r>
      <w:r>
        <w:rPr>
          <w:i/>
          <w:iCs/>
        </w:rPr>
        <w:t xml:space="preserve">California Housing data</w:t>
      </w:r>
      <w:r>
        <w:t xml:space="preserve"> </w:t>
      </w:r>
      <w:r>
        <w:t xml:space="preserve">— original hosting of the 1990 census-derived dataset. http://lib.stat.cmu.edu/datasets/</w:t>
      </w:r>
    </w:p>
    <w:p>
      <w:pPr>
        <w:pStyle w:val="BodyText"/>
      </w:pPr>
      <w:r>
        <w:rPr>
          <w:b/>
          <w:bCs/>
        </w:rPr>
        <w:t xml:space="preserve">Tools</w:t>
      </w:r>
      <w:r>
        <w:t xml:space="preserve"> </w:t>
      </w:r>
      <w:r>
        <w:t xml:space="preserve">- Pedregosa et al. (2011). Scikit-learn: Machine Learning in Python.</w:t>
      </w:r>
      <w:r>
        <w:t xml:space="preserve"> </w:t>
      </w:r>
      <w:r>
        <w:rPr>
          <w:i/>
          <w:iCs/>
        </w:rPr>
        <w:t xml:space="preserve">JMLR</w:t>
      </w:r>
      <w:r>
        <w:t xml:space="preserve"> </w:t>
      </w:r>
      <w:r>
        <w:t xml:space="preserve">12, 2825–2830.</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2026-04-21T18:10:21Z</dcterms:created>
  <dcterms:modified xsi:type="dcterms:W3CDTF">2026-04-21T18:10:21Z</dcterms:modified>
</cp:coreProperties>
</file>

<file path=docProps/custom.xml><?xml version="1.0" encoding="utf-8"?>
<Properties xmlns="http://schemas.openxmlformats.org/officeDocument/2006/custom-properties" xmlns:vt="http://schemas.openxmlformats.org/officeDocument/2006/docPropsVTypes"/>
</file>