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A028C" w14:textId="0CC07E71" w:rsidR="009E1075" w:rsidRDefault="00133BBC" w:rsidP="009E1075">
      <w:pPr>
        <w:spacing w:line="480" w:lineRule="auto"/>
        <w:jc w:val="center"/>
        <w:rPr>
          <w:bCs/>
          <w:i/>
          <w:sz w:val="40"/>
          <w:szCs w:val="40"/>
        </w:rPr>
      </w:pPr>
      <w:r w:rsidRPr="009E1075">
        <w:rPr>
          <w:bCs/>
          <w:i/>
          <w:sz w:val="40"/>
          <w:szCs w:val="40"/>
        </w:rPr>
        <w:t>Global Goliaths</w:t>
      </w:r>
      <w:r w:rsidR="009E1075" w:rsidRPr="009E1075">
        <w:rPr>
          <w:bCs/>
          <w:i/>
          <w:sz w:val="40"/>
          <w:szCs w:val="40"/>
        </w:rPr>
        <w:t>:</w:t>
      </w:r>
    </w:p>
    <w:p w14:paraId="1E48BFBF" w14:textId="4FBF76C3" w:rsidR="006F645F" w:rsidRPr="009E1075" w:rsidRDefault="009E1075" w:rsidP="009E1075">
      <w:pPr>
        <w:spacing w:line="480" w:lineRule="auto"/>
        <w:jc w:val="center"/>
        <w:rPr>
          <w:i/>
          <w:sz w:val="40"/>
          <w:szCs w:val="40"/>
        </w:rPr>
      </w:pPr>
      <w:r w:rsidRPr="009E1075">
        <w:rPr>
          <w:bCs/>
          <w:i/>
          <w:sz w:val="40"/>
          <w:szCs w:val="40"/>
        </w:rPr>
        <w:t>Multinational Corporations in the 21</w:t>
      </w:r>
      <w:r w:rsidRPr="009E1075">
        <w:rPr>
          <w:bCs/>
          <w:i/>
          <w:sz w:val="40"/>
          <w:szCs w:val="40"/>
          <w:vertAlign w:val="superscript"/>
        </w:rPr>
        <w:t>st</w:t>
      </w:r>
      <w:r w:rsidRPr="009E1075">
        <w:rPr>
          <w:bCs/>
          <w:i/>
          <w:sz w:val="40"/>
          <w:szCs w:val="40"/>
        </w:rPr>
        <w:t xml:space="preserve"> Century Economy</w:t>
      </w:r>
    </w:p>
    <w:p w14:paraId="67F0D52E" w14:textId="77777777" w:rsidR="006F645F" w:rsidRPr="00753451" w:rsidRDefault="006F645F" w:rsidP="008416AD">
      <w:pPr>
        <w:spacing w:line="480" w:lineRule="auto"/>
        <w:jc w:val="center"/>
        <w:rPr>
          <w:rStyle w:val="Emphasis"/>
          <w:bCs/>
          <w:i w:val="0"/>
          <w:iCs w:val="0"/>
          <w:szCs w:val="24"/>
          <w:shd w:val="clear" w:color="auto" w:fill="FFFFFF"/>
        </w:rPr>
      </w:pPr>
      <w:r w:rsidRPr="00753451">
        <w:rPr>
          <w:rStyle w:val="Emphasis"/>
          <w:bCs/>
          <w:i w:val="0"/>
          <w:iCs w:val="0"/>
          <w:szCs w:val="24"/>
          <w:shd w:val="clear" w:color="auto" w:fill="FFFFFF"/>
        </w:rPr>
        <w:t>C. Fritz Foley</w:t>
      </w:r>
    </w:p>
    <w:p w14:paraId="1D2F3AE7" w14:textId="248FECB8" w:rsidR="006F645F" w:rsidRPr="00753451" w:rsidRDefault="006F645F" w:rsidP="008416AD">
      <w:pPr>
        <w:spacing w:line="480" w:lineRule="auto"/>
        <w:jc w:val="center"/>
        <w:rPr>
          <w:rStyle w:val="Emphasis"/>
          <w:bCs/>
          <w:i w:val="0"/>
          <w:iCs w:val="0"/>
          <w:szCs w:val="24"/>
          <w:shd w:val="clear" w:color="auto" w:fill="FFFFFF"/>
        </w:rPr>
      </w:pPr>
      <w:r w:rsidRPr="00753451">
        <w:rPr>
          <w:rStyle w:val="Emphasis"/>
          <w:bCs/>
          <w:i w:val="0"/>
          <w:iCs w:val="0"/>
          <w:szCs w:val="24"/>
          <w:shd w:val="clear" w:color="auto" w:fill="FFFFFF"/>
        </w:rPr>
        <w:t>James R. Hines Jr.</w:t>
      </w:r>
    </w:p>
    <w:p w14:paraId="0FB765AD" w14:textId="77777777" w:rsidR="006F645F" w:rsidRPr="00753451" w:rsidRDefault="006F645F" w:rsidP="008416AD">
      <w:pPr>
        <w:spacing w:line="480" w:lineRule="auto"/>
        <w:jc w:val="center"/>
        <w:rPr>
          <w:i/>
          <w:iCs/>
          <w:szCs w:val="24"/>
          <w:lang w:val="fr-FR"/>
        </w:rPr>
      </w:pPr>
      <w:r w:rsidRPr="00753451">
        <w:rPr>
          <w:rStyle w:val="Emphasis"/>
          <w:bCs/>
          <w:i w:val="0"/>
          <w:iCs w:val="0"/>
          <w:szCs w:val="24"/>
          <w:shd w:val="clear" w:color="auto" w:fill="FFFFFF"/>
        </w:rPr>
        <w:t>David Wessel</w:t>
      </w:r>
    </w:p>
    <w:p w14:paraId="0BE6A565" w14:textId="77777777" w:rsidR="006F645F" w:rsidRPr="00753451" w:rsidRDefault="006F645F" w:rsidP="008416AD">
      <w:pPr>
        <w:spacing w:line="480" w:lineRule="auto"/>
        <w:rPr>
          <w:i/>
          <w:szCs w:val="24"/>
        </w:rPr>
      </w:pPr>
    </w:p>
    <w:p w14:paraId="2A63D40E" w14:textId="466BF9BE" w:rsidR="006F645F" w:rsidRPr="00753451" w:rsidRDefault="006F645F" w:rsidP="004048D4">
      <w:pPr>
        <w:spacing w:line="480" w:lineRule="auto"/>
        <w:ind w:firstLine="720"/>
        <w:rPr>
          <w:szCs w:val="24"/>
        </w:rPr>
      </w:pPr>
      <w:r w:rsidRPr="00753451">
        <w:rPr>
          <w:szCs w:val="24"/>
        </w:rPr>
        <w:t>Multinational corporations</w:t>
      </w:r>
      <w:r w:rsidR="0018442A">
        <w:rPr>
          <w:szCs w:val="24"/>
        </w:rPr>
        <w:t xml:space="preserve"> (MNCs)</w:t>
      </w:r>
      <w:r w:rsidRPr="00753451">
        <w:rPr>
          <w:szCs w:val="24"/>
        </w:rPr>
        <w:t xml:space="preserve"> are the global goliaths of modern </w:t>
      </w:r>
      <w:proofErr w:type="gramStart"/>
      <w:r w:rsidRPr="00753451">
        <w:rPr>
          <w:szCs w:val="24"/>
        </w:rPr>
        <w:t>times</w:t>
      </w:r>
      <w:r w:rsidR="00A83CC7" w:rsidRPr="00753451">
        <w:rPr>
          <w:szCs w:val="24"/>
        </w:rPr>
        <w:t>,  respon</w:t>
      </w:r>
      <w:r w:rsidRPr="00753451">
        <w:rPr>
          <w:szCs w:val="24"/>
        </w:rPr>
        <w:t>sible</w:t>
      </w:r>
      <w:proofErr w:type="gramEnd"/>
      <w:r w:rsidRPr="00753451">
        <w:rPr>
          <w:szCs w:val="24"/>
        </w:rPr>
        <w:t xml:space="preserve"> for large portions of world production, employment, investment, international trade, research, and innovation. Decisions made by these firms affect those who work for them, buy from them, do business with them, and compete with them</w:t>
      </w:r>
      <w:r w:rsidR="00B043FA" w:rsidRPr="00753451">
        <w:rPr>
          <w:szCs w:val="24"/>
        </w:rPr>
        <w:t xml:space="preserve"> as well as th</w:t>
      </w:r>
      <w:r w:rsidR="00176D5A" w:rsidRPr="00753451">
        <w:rPr>
          <w:szCs w:val="24"/>
        </w:rPr>
        <w:t xml:space="preserve">e </w:t>
      </w:r>
      <w:r w:rsidR="00DF68F8">
        <w:rPr>
          <w:szCs w:val="24"/>
        </w:rPr>
        <w:t xml:space="preserve">economies and societies of the </w:t>
      </w:r>
      <w:r w:rsidR="00176D5A" w:rsidRPr="00753451">
        <w:rPr>
          <w:szCs w:val="24"/>
        </w:rPr>
        <w:t xml:space="preserve">places </w:t>
      </w:r>
      <w:r w:rsidRPr="00753451">
        <w:rPr>
          <w:szCs w:val="24"/>
        </w:rPr>
        <w:t xml:space="preserve">in which they are located. </w:t>
      </w:r>
    </w:p>
    <w:p w14:paraId="4F9AD1D4" w14:textId="59BBFF4A" w:rsidR="006F645F" w:rsidRPr="00753451" w:rsidRDefault="00B972CD" w:rsidP="00DC07E6">
      <w:pPr>
        <w:spacing w:line="480" w:lineRule="auto"/>
        <w:ind w:firstLine="720"/>
        <w:rPr>
          <w:szCs w:val="24"/>
        </w:rPr>
      </w:pPr>
      <w:r>
        <w:rPr>
          <w:szCs w:val="24"/>
        </w:rPr>
        <w:t xml:space="preserve">Some </w:t>
      </w:r>
      <w:r w:rsidR="00EF0881">
        <w:rPr>
          <w:szCs w:val="24"/>
        </w:rPr>
        <w:t>are critical</w:t>
      </w:r>
      <w:r w:rsidR="007A1BAC">
        <w:rPr>
          <w:szCs w:val="24"/>
        </w:rPr>
        <w:t xml:space="preserve"> of MNC</w:t>
      </w:r>
      <w:r w:rsidR="00EF0881">
        <w:rPr>
          <w:szCs w:val="24"/>
        </w:rPr>
        <w:t xml:space="preserve">s.  They </w:t>
      </w:r>
      <w:r w:rsidR="00326B90">
        <w:rPr>
          <w:szCs w:val="24"/>
        </w:rPr>
        <w:t>say</w:t>
      </w:r>
      <w:r w:rsidR="00EF0881">
        <w:rPr>
          <w:szCs w:val="24"/>
        </w:rPr>
        <w:t xml:space="preserve"> that</w:t>
      </w:r>
      <w:r w:rsidR="00D1119D" w:rsidRPr="00753451">
        <w:rPr>
          <w:szCs w:val="24"/>
        </w:rPr>
        <w:t xml:space="preserve"> </w:t>
      </w:r>
      <w:r w:rsidR="006F645F" w:rsidRPr="00753451">
        <w:rPr>
          <w:szCs w:val="24"/>
        </w:rPr>
        <w:t xml:space="preserve">these firms seek to monopolize markets, exploit foreign and domestic labor, avoid paying taxes, dodge government regulations, manage innovation inappropriately, and exploit their financial positions to the detriment of other companies. </w:t>
      </w:r>
      <w:r w:rsidR="00EF0881">
        <w:rPr>
          <w:szCs w:val="24"/>
        </w:rPr>
        <w:t>They note that l</w:t>
      </w:r>
      <w:r w:rsidR="006F645F" w:rsidRPr="00753451">
        <w:rPr>
          <w:szCs w:val="24"/>
        </w:rPr>
        <w:t xml:space="preserve">arge multinational firms are uniquely capable of deploying their market positions and influence over government to solidify their control, obtaining outsized profits with actions that undermine the public interest. </w:t>
      </w:r>
      <w:r w:rsidR="004048D4" w:rsidRPr="00753451">
        <w:rPr>
          <w:szCs w:val="24"/>
        </w:rPr>
        <w:t xml:space="preserve"> </w:t>
      </w:r>
      <w:r>
        <w:rPr>
          <w:szCs w:val="24"/>
        </w:rPr>
        <w:t xml:space="preserve">Others </w:t>
      </w:r>
      <w:r w:rsidR="007A1BAC">
        <w:rPr>
          <w:szCs w:val="24"/>
        </w:rPr>
        <w:t xml:space="preserve">view MNCs more favorably.  They </w:t>
      </w:r>
      <w:r>
        <w:rPr>
          <w:szCs w:val="24"/>
        </w:rPr>
        <w:t>say</w:t>
      </w:r>
      <w:r w:rsidR="007A1BAC">
        <w:rPr>
          <w:szCs w:val="24"/>
        </w:rPr>
        <w:t xml:space="preserve"> that</w:t>
      </w:r>
      <w:r w:rsidR="004048D4" w:rsidRPr="00753451">
        <w:rPr>
          <w:szCs w:val="24"/>
        </w:rPr>
        <w:t xml:space="preserve"> </w:t>
      </w:r>
      <w:r w:rsidR="006F645F" w:rsidRPr="00753451">
        <w:rPr>
          <w:szCs w:val="24"/>
        </w:rPr>
        <w:t>multinational firms re</w:t>
      </w:r>
      <w:r w:rsidR="007A1BAC">
        <w:rPr>
          <w:szCs w:val="24"/>
        </w:rPr>
        <w:t>present</w:t>
      </w:r>
      <w:r w:rsidR="006F645F" w:rsidRPr="00753451">
        <w:rPr>
          <w:szCs w:val="24"/>
        </w:rPr>
        <w:t xml:space="preserve"> the epitome of modern capitalism, producing the benefits of economic life that many take for granted</w:t>
      </w:r>
      <w:r w:rsidR="007A1BAC">
        <w:rPr>
          <w:szCs w:val="24"/>
        </w:rPr>
        <w:t xml:space="preserve">.  </w:t>
      </w:r>
      <w:r w:rsidR="00E26C89">
        <w:rPr>
          <w:szCs w:val="24"/>
        </w:rPr>
        <w:t xml:space="preserve">They argue </w:t>
      </w:r>
      <w:proofErr w:type="gramStart"/>
      <w:r w:rsidR="00E26C89">
        <w:rPr>
          <w:szCs w:val="24"/>
        </w:rPr>
        <w:t xml:space="preserve">that </w:t>
      </w:r>
      <w:r w:rsidR="007A1BAC">
        <w:rPr>
          <w:szCs w:val="24"/>
        </w:rPr>
        <w:t xml:space="preserve"> multinational</w:t>
      </w:r>
      <w:proofErr w:type="gramEnd"/>
      <w:r w:rsidR="007A1BAC">
        <w:rPr>
          <w:szCs w:val="24"/>
        </w:rPr>
        <w:t xml:space="preserve"> firms</w:t>
      </w:r>
      <w:r w:rsidR="00133BBC" w:rsidRPr="00753451">
        <w:rPr>
          <w:szCs w:val="24"/>
        </w:rPr>
        <w:t xml:space="preserve"> </w:t>
      </w:r>
      <w:proofErr w:type="spellStart"/>
      <w:r w:rsidR="00133BBC" w:rsidRPr="00753451">
        <w:rPr>
          <w:szCs w:val="24"/>
        </w:rPr>
        <w:t>propell</w:t>
      </w:r>
      <w:proofErr w:type="spellEnd"/>
      <w:r w:rsidR="00133BBC" w:rsidRPr="00753451">
        <w:rPr>
          <w:szCs w:val="24"/>
        </w:rPr>
        <w:t xml:space="preserve"> innovation and productivity</w:t>
      </w:r>
      <w:r w:rsidR="007A1BAC">
        <w:rPr>
          <w:szCs w:val="24"/>
        </w:rPr>
        <w:t>,</w:t>
      </w:r>
      <w:r w:rsidR="00133BBC" w:rsidRPr="00753451">
        <w:rPr>
          <w:szCs w:val="24"/>
        </w:rPr>
        <w:t xml:space="preserve"> </w:t>
      </w:r>
      <w:r w:rsidR="007A1BAC">
        <w:rPr>
          <w:szCs w:val="24"/>
        </w:rPr>
        <w:t>thereby</w:t>
      </w:r>
      <w:r w:rsidR="00133BBC" w:rsidRPr="00753451">
        <w:rPr>
          <w:szCs w:val="24"/>
        </w:rPr>
        <w:t xml:space="preserve"> contribut</w:t>
      </w:r>
      <w:r w:rsidR="007A1BAC">
        <w:rPr>
          <w:szCs w:val="24"/>
        </w:rPr>
        <w:t>ing</w:t>
      </w:r>
      <w:r w:rsidR="00133BBC" w:rsidRPr="00753451">
        <w:rPr>
          <w:szCs w:val="24"/>
        </w:rPr>
        <w:t xml:space="preserve"> to rising living standards</w:t>
      </w:r>
      <w:r w:rsidR="007A1BAC">
        <w:rPr>
          <w:szCs w:val="24"/>
        </w:rPr>
        <w:t>,</w:t>
      </w:r>
      <w:r w:rsidR="00133BBC" w:rsidRPr="00753451">
        <w:rPr>
          <w:szCs w:val="24"/>
        </w:rPr>
        <w:t xml:space="preserve"> both at home and abroad. </w:t>
      </w:r>
      <w:r w:rsidR="006F645F" w:rsidRPr="00753451">
        <w:rPr>
          <w:szCs w:val="24"/>
        </w:rPr>
        <w:t xml:space="preserve"> </w:t>
      </w:r>
    </w:p>
    <w:p w14:paraId="01709A52" w14:textId="1C3D9213" w:rsidR="006F645F" w:rsidRPr="00753451" w:rsidRDefault="006F645F" w:rsidP="008416AD">
      <w:pPr>
        <w:spacing w:line="480" w:lineRule="auto"/>
        <w:ind w:firstLine="720"/>
        <w:rPr>
          <w:szCs w:val="24"/>
        </w:rPr>
      </w:pPr>
      <w:r w:rsidRPr="00753451">
        <w:rPr>
          <w:szCs w:val="24"/>
        </w:rPr>
        <w:lastRenderedPageBreak/>
        <w:t xml:space="preserve">Differing views of </w:t>
      </w:r>
      <w:r w:rsidR="0018442A">
        <w:rPr>
          <w:szCs w:val="24"/>
        </w:rPr>
        <w:t>MNCs</w:t>
      </w:r>
      <w:r w:rsidRPr="00753451">
        <w:rPr>
          <w:szCs w:val="24"/>
        </w:rPr>
        <w:t xml:space="preserve"> carry implications not only for understanding </w:t>
      </w:r>
      <w:r w:rsidR="00DF68F8">
        <w:rPr>
          <w:szCs w:val="24"/>
        </w:rPr>
        <w:t>the operation of the</w:t>
      </w:r>
      <w:r w:rsidRPr="00753451">
        <w:rPr>
          <w:szCs w:val="24"/>
        </w:rPr>
        <w:t xml:space="preserve"> economy but also for government policies. Governments contract with </w:t>
      </w:r>
      <w:r w:rsidR="0018442A">
        <w:rPr>
          <w:szCs w:val="24"/>
        </w:rPr>
        <w:t>MNCs</w:t>
      </w:r>
      <w:r w:rsidRPr="00753451">
        <w:rPr>
          <w:szCs w:val="24"/>
        </w:rPr>
        <w:t>, tax them, and regulate them. Diplomatic negotiations, international treaties and economic agreements, and even military interventions</w:t>
      </w:r>
      <w:r w:rsidR="00DF68F8">
        <w:rPr>
          <w:szCs w:val="24"/>
        </w:rPr>
        <w:t>,</w:t>
      </w:r>
      <w:r w:rsidRPr="00753451">
        <w:rPr>
          <w:szCs w:val="24"/>
        </w:rPr>
        <w:t xml:space="preserve"> are of central concern to international investors.</w:t>
      </w:r>
      <w:r w:rsidR="00133BBC" w:rsidRPr="00753451">
        <w:rPr>
          <w:szCs w:val="24"/>
        </w:rPr>
        <w:t xml:space="preserve">  G</w:t>
      </w:r>
      <w:r w:rsidRPr="00753451">
        <w:rPr>
          <w:szCs w:val="24"/>
        </w:rPr>
        <w:t xml:space="preserve">overnments offer multinational firms tax concessions and other inducements to attract and retain their activities. </w:t>
      </w:r>
      <w:r w:rsidR="00133BBC" w:rsidRPr="00753451">
        <w:rPr>
          <w:szCs w:val="24"/>
        </w:rPr>
        <w:t>All t</w:t>
      </w:r>
      <w:r w:rsidRPr="00753451">
        <w:rPr>
          <w:szCs w:val="24"/>
        </w:rPr>
        <w:t>hese interactions are premised on views of the nature of the multinational enterprise, and its role in the modern economy, over which there is considerable difference of opinion.</w:t>
      </w:r>
    </w:p>
    <w:p w14:paraId="0F8323AC" w14:textId="6BDAFE37" w:rsidR="0018442A" w:rsidRDefault="006F645F" w:rsidP="00176D5A">
      <w:pPr>
        <w:spacing w:line="480" w:lineRule="auto"/>
        <w:ind w:firstLine="720"/>
        <w:rPr>
          <w:szCs w:val="24"/>
        </w:rPr>
      </w:pPr>
      <w:r w:rsidRPr="00753451">
        <w:rPr>
          <w:szCs w:val="24"/>
        </w:rPr>
        <w:t xml:space="preserve">This </w:t>
      </w:r>
      <w:r w:rsidR="007C3E39">
        <w:rPr>
          <w:szCs w:val="24"/>
        </w:rPr>
        <w:t xml:space="preserve">policy brief </w:t>
      </w:r>
      <w:r w:rsidR="00DF68F8">
        <w:rPr>
          <w:szCs w:val="24"/>
        </w:rPr>
        <w:t>draws on the contents of</w:t>
      </w:r>
      <w:r w:rsidR="007C3E39">
        <w:rPr>
          <w:szCs w:val="24"/>
        </w:rPr>
        <w:t xml:space="preserve"> a </w:t>
      </w:r>
      <w:r w:rsidR="0018442A">
        <w:rPr>
          <w:szCs w:val="24"/>
        </w:rPr>
        <w:t>book</w:t>
      </w:r>
      <w:r w:rsidR="00DF68F8">
        <w:rPr>
          <w:szCs w:val="24"/>
        </w:rPr>
        <w:t xml:space="preserve"> that we edited,</w:t>
      </w:r>
      <w:r w:rsidR="00DF68F8">
        <w:rPr>
          <w:rStyle w:val="FootnoteReference"/>
          <w:szCs w:val="24"/>
        </w:rPr>
        <w:footnoteReference w:id="2"/>
      </w:r>
      <w:r w:rsidR="00DF68F8">
        <w:rPr>
          <w:szCs w:val="24"/>
        </w:rPr>
        <w:t xml:space="preserve"> and that contains</w:t>
      </w:r>
      <w:r w:rsidR="0018442A">
        <w:rPr>
          <w:szCs w:val="24"/>
        </w:rPr>
        <w:t xml:space="preserve"> contributions from </w:t>
      </w:r>
      <w:r w:rsidR="00A60E53">
        <w:rPr>
          <w:szCs w:val="24"/>
        </w:rPr>
        <w:t>27</w:t>
      </w:r>
      <w:r w:rsidR="00B972CD">
        <w:rPr>
          <w:szCs w:val="24"/>
        </w:rPr>
        <w:t xml:space="preserve"> distinguished </w:t>
      </w:r>
      <w:r w:rsidR="0018442A">
        <w:rPr>
          <w:szCs w:val="24"/>
        </w:rPr>
        <w:t>scholars</w:t>
      </w:r>
      <w:r w:rsidR="007C3E39">
        <w:rPr>
          <w:szCs w:val="24"/>
        </w:rPr>
        <w:t xml:space="preserve"> </w:t>
      </w:r>
      <w:r w:rsidR="00DF68F8">
        <w:rPr>
          <w:szCs w:val="24"/>
        </w:rPr>
        <w:t>who offer</w:t>
      </w:r>
      <w:r w:rsidRPr="00753451">
        <w:rPr>
          <w:szCs w:val="24"/>
        </w:rPr>
        <w:t xml:space="preserve"> fact-based analysis of the activities of </w:t>
      </w:r>
      <w:r w:rsidR="0018442A">
        <w:rPr>
          <w:szCs w:val="24"/>
        </w:rPr>
        <w:t>MNCs</w:t>
      </w:r>
      <w:r w:rsidR="00B972CD">
        <w:rPr>
          <w:szCs w:val="24"/>
        </w:rPr>
        <w:t xml:space="preserve">. </w:t>
      </w:r>
      <w:r w:rsidR="00E36715">
        <w:rPr>
          <w:szCs w:val="24"/>
        </w:rPr>
        <w:t>The book’s</w:t>
      </w:r>
      <w:r w:rsidR="00B972CD">
        <w:rPr>
          <w:szCs w:val="24"/>
        </w:rPr>
        <w:t xml:space="preserve"> goal is to </w:t>
      </w:r>
      <w:r w:rsidR="004048D4" w:rsidRPr="00753451">
        <w:rPr>
          <w:szCs w:val="24"/>
        </w:rPr>
        <w:t>augment understanding of multinational firms, contributing to informed public discussion and better public policies.</w:t>
      </w:r>
      <w:r w:rsidRPr="00753451">
        <w:rPr>
          <w:szCs w:val="24"/>
        </w:rPr>
        <w:t xml:space="preserve"> </w:t>
      </w:r>
      <w:r w:rsidR="00133BBC" w:rsidRPr="00753451">
        <w:rPr>
          <w:szCs w:val="24"/>
        </w:rPr>
        <w:t xml:space="preserve"> </w:t>
      </w:r>
    </w:p>
    <w:p w14:paraId="0CAF6004" w14:textId="77777777" w:rsidR="0018442A" w:rsidRDefault="0018442A" w:rsidP="00176D5A">
      <w:pPr>
        <w:spacing w:line="480" w:lineRule="auto"/>
        <w:ind w:firstLine="720"/>
        <w:rPr>
          <w:szCs w:val="24"/>
        </w:rPr>
      </w:pPr>
    </w:p>
    <w:p w14:paraId="1658F25F" w14:textId="77777777" w:rsidR="0018442A" w:rsidRPr="0018442A" w:rsidRDefault="0018442A" w:rsidP="0018442A">
      <w:pPr>
        <w:pBdr>
          <w:top w:val="single" w:sz="4" w:space="1" w:color="auto"/>
          <w:left w:val="single" w:sz="4" w:space="4" w:color="auto"/>
          <w:bottom w:val="single" w:sz="4" w:space="1" w:color="auto"/>
          <w:right w:val="single" w:sz="4" w:space="4" w:color="auto"/>
        </w:pBdr>
        <w:spacing w:line="480" w:lineRule="auto"/>
        <w:ind w:firstLine="720"/>
        <w:rPr>
          <w:b/>
          <w:bCs/>
          <w:szCs w:val="24"/>
        </w:rPr>
      </w:pPr>
      <w:r w:rsidRPr="0018442A">
        <w:rPr>
          <w:b/>
          <w:bCs/>
          <w:szCs w:val="24"/>
        </w:rPr>
        <w:t>What is a multinational corporation?</w:t>
      </w:r>
    </w:p>
    <w:p w14:paraId="52FDCA3D" w14:textId="2FDB97BD" w:rsidR="00A83CC7" w:rsidRDefault="0018442A" w:rsidP="0018442A">
      <w:pPr>
        <w:pBdr>
          <w:top w:val="single" w:sz="4" w:space="1" w:color="auto"/>
          <w:left w:val="single" w:sz="4" w:space="4" w:color="auto"/>
          <w:bottom w:val="single" w:sz="4" w:space="1" w:color="auto"/>
          <w:right w:val="single" w:sz="4" w:space="4" w:color="auto"/>
        </w:pBdr>
        <w:spacing w:line="480" w:lineRule="auto"/>
        <w:ind w:firstLine="720"/>
        <w:rPr>
          <w:szCs w:val="24"/>
        </w:rPr>
      </w:pPr>
      <w:r>
        <w:rPr>
          <w:szCs w:val="24"/>
        </w:rPr>
        <w:t xml:space="preserve"> </w:t>
      </w:r>
      <w:r w:rsidR="00A83CC7" w:rsidRPr="00753451">
        <w:rPr>
          <w:szCs w:val="24"/>
        </w:rPr>
        <w:t>We</w:t>
      </w:r>
      <w:r w:rsidR="00133BBC" w:rsidRPr="00753451">
        <w:rPr>
          <w:szCs w:val="24"/>
        </w:rPr>
        <w:t xml:space="preserve"> define </w:t>
      </w:r>
      <w:r>
        <w:rPr>
          <w:szCs w:val="24"/>
        </w:rPr>
        <w:t xml:space="preserve">a multinational corporation (MNC) </w:t>
      </w:r>
      <w:r w:rsidR="00A83CC7" w:rsidRPr="00753451">
        <w:rPr>
          <w:szCs w:val="24"/>
        </w:rPr>
        <w:t>as</w:t>
      </w:r>
      <w:r w:rsidR="006F645F" w:rsidRPr="00753451">
        <w:rPr>
          <w:szCs w:val="24"/>
        </w:rPr>
        <w:t xml:space="preserve"> </w:t>
      </w:r>
      <w:r>
        <w:rPr>
          <w:szCs w:val="24"/>
        </w:rPr>
        <w:t xml:space="preserve">a </w:t>
      </w:r>
      <w:r w:rsidR="006F645F" w:rsidRPr="00753451">
        <w:rPr>
          <w:szCs w:val="24"/>
        </w:rPr>
        <w:t xml:space="preserve">business </w:t>
      </w:r>
      <w:r>
        <w:rPr>
          <w:szCs w:val="24"/>
        </w:rPr>
        <w:t>entity</w:t>
      </w:r>
      <w:r w:rsidR="006F645F" w:rsidRPr="00753451">
        <w:rPr>
          <w:szCs w:val="24"/>
        </w:rPr>
        <w:t xml:space="preserve"> with one or more foreign affiliates in which the parent company holds at least a 10 percent ownership stake</w:t>
      </w:r>
      <w:r>
        <w:rPr>
          <w:szCs w:val="24"/>
        </w:rPr>
        <w:t xml:space="preserve">. </w:t>
      </w:r>
      <w:proofErr w:type="gramStart"/>
      <w:r>
        <w:rPr>
          <w:szCs w:val="24"/>
        </w:rPr>
        <w:t xml:space="preserve">Because </w:t>
      </w:r>
      <w:r w:rsidR="006F645F" w:rsidRPr="00753451">
        <w:rPr>
          <w:szCs w:val="24"/>
        </w:rPr>
        <w:t xml:space="preserve"> most</w:t>
      </w:r>
      <w:proofErr w:type="gramEnd"/>
      <w:r w:rsidR="006F645F" w:rsidRPr="00753451">
        <w:rPr>
          <w:szCs w:val="24"/>
        </w:rPr>
        <w:t xml:space="preserve"> foreign affiliates are 100 percent</w:t>
      </w:r>
      <w:r w:rsidR="004048D4" w:rsidRPr="00753451">
        <w:rPr>
          <w:szCs w:val="24"/>
        </w:rPr>
        <w:t xml:space="preserve"> o</w:t>
      </w:r>
      <w:r w:rsidR="006F645F" w:rsidRPr="00753451">
        <w:rPr>
          <w:szCs w:val="24"/>
        </w:rPr>
        <w:t>wned by their parents</w:t>
      </w:r>
      <w:r>
        <w:rPr>
          <w:szCs w:val="24"/>
        </w:rPr>
        <w:t xml:space="preserve"> </w:t>
      </w:r>
      <w:r w:rsidRPr="007E5D55">
        <w:rPr>
          <w:szCs w:val="24"/>
        </w:rPr>
        <w:t xml:space="preserve">and because more data are available for majority-owned foreign affiliates, most of </w:t>
      </w:r>
      <w:r>
        <w:rPr>
          <w:szCs w:val="24"/>
        </w:rPr>
        <w:t>our</w:t>
      </w:r>
      <w:r w:rsidRPr="007E5D55">
        <w:rPr>
          <w:szCs w:val="24"/>
        </w:rPr>
        <w:t xml:space="preserve"> calculations fo</w:t>
      </w:r>
      <w:r>
        <w:rPr>
          <w:szCs w:val="24"/>
        </w:rPr>
        <w:t>c</w:t>
      </w:r>
      <w:r w:rsidRPr="007E5D55">
        <w:rPr>
          <w:szCs w:val="24"/>
        </w:rPr>
        <w:t xml:space="preserve">us on majority-owned </w:t>
      </w:r>
      <w:proofErr w:type="spellStart"/>
      <w:r w:rsidRPr="007E5D55">
        <w:rPr>
          <w:szCs w:val="24"/>
        </w:rPr>
        <w:t>affiiates</w:t>
      </w:r>
      <w:proofErr w:type="spellEnd"/>
      <w:r w:rsidRPr="007E5D55">
        <w:rPr>
          <w:szCs w:val="24"/>
        </w:rPr>
        <w:t>.</w:t>
      </w:r>
    </w:p>
    <w:p w14:paraId="766F88AF" w14:textId="77777777" w:rsidR="0018442A" w:rsidRPr="00753451" w:rsidRDefault="0018442A" w:rsidP="00176D5A">
      <w:pPr>
        <w:spacing w:line="480" w:lineRule="auto"/>
        <w:ind w:firstLine="720"/>
        <w:rPr>
          <w:szCs w:val="24"/>
        </w:rPr>
      </w:pPr>
    </w:p>
    <w:p w14:paraId="57DCE945" w14:textId="2C8415DC" w:rsidR="006F645F" w:rsidRPr="00753451" w:rsidRDefault="00B972CD" w:rsidP="008416AD">
      <w:pPr>
        <w:spacing w:line="480" w:lineRule="auto"/>
        <w:ind w:firstLine="720"/>
        <w:rPr>
          <w:szCs w:val="24"/>
        </w:rPr>
      </w:pPr>
      <w:r>
        <w:rPr>
          <w:szCs w:val="24"/>
        </w:rPr>
        <w:t>W</w:t>
      </w:r>
      <w:r w:rsidR="00133BBC" w:rsidRPr="00753451">
        <w:rPr>
          <w:szCs w:val="24"/>
        </w:rPr>
        <w:t>e have assemb</w:t>
      </w:r>
      <w:r w:rsidR="0018442A">
        <w:rPr>
          <w:szCs w:val="24"/>
        </w:rPr>
        <w:t>l</w:t>
      </w:r>
      <w:r w:rsidR="00133BBC" w:rsidRPr="00753451">
        <w:rPr>
          <w:szCs w:val="24"/>
        </w:rPr>
        <w:t>ed</w:t>
      </w:r>
      <w:r w:rsidR="006F645F" w:rsidRPr="00753451">
        <w:rPr>
          <w:szCs w:val="24"/>
        </w:rPr>
        <w:t xml:space="preserve"> the best </w:t>
      </w:r>
      <w:r w:rsidR="007C3E39">
        <w:rPr>
          <w:szCs w:val="24"/>
        </w:rPr>
        <w:t xml:space="preserve">evidence available </w:t>
      </w:r>
      <w:r w:rsidR="006F645F" w:rsidRPr="00753451">
        <w:rPr>
          <w:szCs w:val="24"/>
        </w:rPr>
        <w:t xml:space="preserve">to address </w:t>
      </w:r>
      <w:r w:rsidR="00326B90">
        <w:rPr>
          <w:szCs w:val="24"/>
        </w:rPr>
        <w:t xml:space="preserve">several </w:t>
      </w:r>
      <w:r w:rsidR="006F645F" w:rsidRPr="00753451">
        <w:rPr>
          <w:szCs w:val="24"/>
        </w:rPr>
        <w:t xml:space="preserve">key questions about </w:t>
      </w:r>
      <w:r w:rsidR="00BC7A0F">
        <w:rPr>
          <w:szCs w:val="24"/>
        </w:rPr>
        <w:t>MNCs</w:t>
      </w:r>
      <w:r w:rsidR="006F645F" w:rsidRPr="00753451">
        <w:rPr>
          <w:szCs w:val="24"/>
        </w:rPr>
        <w:t xml:space="preserve"> that arise in public debates: Do U.S. multinationals export jobs? Do they exploit foreign workers? What drives multinationals to look beyond home-country borders? Do they shift profits </w:t>
      </w:r>
      <w:r w:rsidR="006F645F" w:rsidRPr="00753451">
        <w:rPr>
          <w:szCs w:val="24"/>
        </w:rPr>
        <w:lastRenderedPageBreak/>
        <w:t xml:space="preserve">to tax havens to the detriment of other countries? Where do they conduct R&amp;D, and why? Does the rise of the digital economy allow multinationals to dominate their markets, or does it challenge their market power? Do multinational corporations have an edge over other firms in raising money? How important are cross-border takeovers, and what drives them? How have U.S., European, and Japanese multinationals responded to the remarkable rise of Asia—China, in particular? </w:t>
      </w:r>
    </w:p>
    <w:p w14:paraId="50EDDFB9" w14:textId="0EC0DE24" w:rsidR="006F645F" w:rsidRPr="00753451" w:rsidRDefault="006F645F" w:rsidP="008416AD">
      <w:pPr>
        <w:spacing w:line="480" w:lineRule="auto"/>
        <w:ind w:firstLine="720"/>
        <w:rPr>
          <w:szCs w:val="24"/>
        </w:rPr>
      </w:pPr>
      <w:r w:rsidRPr="00753451">
        <w:rPr>
          <w:szCs w:val="24"/>
        </w:rPr>
        <w:t xml:space="preserve">This </w:t>
      </w:r>
      <w:r w:rsidR="0054662D" w:rsidRPr="00753451">
        <w:rPr>
          <w:szCs w:val="24"/>
        </w:rPr>
        <w:t xml:space="preserve">work was </w:t>
      </w:r>
      <w:r w:rsidRPr="00753451">
        <w:rPr>
          <w:szCs w:val="24"/>
        </w:rPr>
        <w:t xml:space="preserve">largely completed prior to the outbreak of the COVID-19 pandemic. </w:t>
      </w:r>
      <w:r w:rsidR="00B972CD">
        <w:rPr>
          <w:szCs w:val="24"/>
        </w:rPr>
        <w:t xml:space="preserve">Even before the pandemic, the </w:t>
      </w:r>
      <w:r w:rsidRPr="00753451">
        <w:rPr>
          <w:szCs w:val="24"/>
        </w:rPr>
        <w:t xml:space="preserve">rise of protectionist political leaders, animosity toward foreigners and immigrants, </w:t>
      </w:r>
      <w:r w:rsidR="00B972CD">
        <w:rPr>
          <w:szCs w:val="24"/>
        </w:rPr>
        <w:t xml:space="preserve">and </w:t>
      </w:r>
      <w:r w:rsidRPr="00753451">
        <w:rPr>
          <w:szCs w:val="24"/>
        </w:rPr>
        <w:t xml:space="preserve">attacks on multinational institutions </w:t>
      </w:r>
      <w:r w:rsidR="00326B90">
        <w:rPr>
          <w:szCs w:val="24"/>
        </w:rPr>
        <w:t xml:space="preserve">led to </w:t>
      </w:r>
      <w:r w:rsidRPr="00753451">
        <w:rPr>
          <w:szCs w:val="24"/>
        </w:rPr>
        <w:t>rethinking of global supply chains and the virtues of keeping more production at home</w:t>
      </w:r>
      <w:r w:rsidR="00326B90">
        <w:rPr>
          <w:szCs w:val="24"/>
        </w:rPr>
        <w:t>. These forces</w:t>
      </w:r>
      <w:r w:rsidR="00DF68F8">
        <w:rPr>
          <w:szCs w:val="24"/>
        </w:rPr>
        <w:t>,</w:t>
      </w:r>
      <w:r w:rsidR="00326B90">
        <w:rPr>
          <w:szCs w:val="24"/>
        </w:rPr>
        <w:t xml:space="preserve"> and those prompted by the pandemic</w:t>
      </w:r>
      <w:r w:rsidR="00DF68F8">
        <w:rPr>
          <w:szCs w:val="24"/>
        </w:rPr>
        <w:t>,</w:t>
      </w:r>
      <w:r w:rsidR="00326B90">
        <w:rPr>
          <w:szCs w:val="24"/>
        </w:rPr>
        <w:t xml:space="preserve"> </w:t>
      </w:r>
      <w:r w:rsidRPr="00753451">
        <w:rPr>
          <w:szCs w:val="24"/>
        </w:rPr>
        <w:t xml:space="preserve">undoubtedly will shape decisions made by </w:t>
      </w:r>
      <w:r w:rsidR="0018442A">
        <w:rPr>
          <w:szCs w:val="24"/>
        </w:rPr>
        <w:t>MNCs</w:t>
      </w:r>
      <w:r w:rsidRPr="00753451">
        <w:rPr>
          <w:szCs w:val="24"/>
        </w:rPr>
        <w:t xml:space="preserve"> and by governments. We do not attempt to predict what </w:t>
      </w:r>
      <w:r w:rsidR="00D1119D" w:rsidRPr="00753451">
        <w:rPr>
          <w:szCs w:val="24"/>
        </w:rPr>
        <w:t>they</w:t>
      </w:r>
      <w:r w:rsidRPr="00753451">
        <w:rPr>
          <w:szCs w:val="24"/>
        </w:rPr>
        <w:t xml:space="preserve"> will decide</w:t>
      </w:r>
      <w:r w:rsidR="00DF68F8">
        <w:rPr>
          <w:szCs w:val="24"/>
        </w:rPr>
        <w:t>,</w:t>
      </w:r>
      <w:r w:rsidRPr="00753451">
        <w:rPr>
          <w:szCs w:val="24"/>
        </w:rPr>
        <w:t xml:space="preserve"> or how these decisions will affect the trends </w:t>
      </w:r>
      <w:r w:rsidR="00843A61" w:rsidRPr="00753451">
        <w:rPr>
          <w:szCs w:val="24"/>
        </w:rPr>
        <w:t>that we describe</w:t>
      </w:r>
      <w:r w:rsidR="00DF68F8">
        <w:rPr>
          <w:szCs w:val="24"/>
        </w:rPr>
        <w:t>, though we expect future decisions to be affected by the underlying economics of multinational enterprises</w:t>
      </w:r>
      <w:r w:rsidR="00843A61" w:rsidRPr="00753451">
        <w:rPr>
          <w:szCs w:val="24"/>
        </w:rPr>
        <w:t>.</w:t>
      </w:r>
    </w:p>
    <w:p w14:paraId="7868E979" w14:textId="7329E246" w:rsidR="0054662D" w:rsidRPr="00753451" w:rsidRDefault="006F645F" w:rsidP="0054662D">
      <w:pPr>
        <w:spacing w:line="480" w:lineRule="auto"/>
        <w:ind w:firstLine="720"/>
        <w:rPr>
          <w:i/>
          <w:szCs w:val="24"/>
        </w:rPr>
      </w:pPr>
      <w:r w:rsidRPr="00753451">
        <w:rPr>
          <w:szCs w:val="24"/>
        </w:rPr>
        <w:t xml:space="preserve">Concerns about the role of </w:t>
      </w:r>
      <w:r w:rsidR="0018442A">
        <w:rPr>
          <w:szCs w:val="24"/>
        </w:rPr>
        <w:t>MNCs</w:t>
      </w:r>
      <w:r w:rsidRPr="00753451">
        <w:rPr>
          <w:szCs w:val="24"/>
        </w:rPr>
        <w:t xml:space="preserve"> in the economy and society are not new</w:t>
      </w:r>
      <w:r w:rsidR="00A83CC7" w:rsidRPr="00753451">
        <w:rPr>
          <w:szCs w:val="24"/>
        </w:rPr>
        <w:t xml:space="preserve">. </w:t>
      </w:r>
      <w:r w:rsidR="00D1119D" w:rsidRPr="00753451">
        <w:rPr>
          <w:szCs w:val="24"/>
        </w:rPr>
        <w:t xml:space="preserve"> </w:t>
      </w:r>
      <w:r w:rsidRPr="00753451">
        <w:rPr>
          <w:szCs w:val="24"/>
        </w:rPr>
        <w:t xml:space="preserve">In 1978, C. Fred Bergsten, Thomas Horst, and Theodore Moran published </w:t>
      </w:r>
      <w:r w:rsidRPr="00753451">
        <w:rPr>
          <w:i/>
          <w:szCs w:val="24"/>
        </w:rPr>
        <w:t>American Multinationals and American Interests</w:t>
      </w:r>
      <w:r w:rsidRPr="00753451">
        <w:rPr>
          <w:szCs w:val="24"/>
        </w:rPr>
        <w:t xml:space="preserve">, </w:t>
      </w:r>
      <w:r w:rsidR="00DF68F8">
        <w:rPr>
          <w:szCs w:val="24"/>
        </w:rPr>
        <w:t>which notes that</w:t>
      </w:r>
      <w:r w:rsidR="00A83CC7" w:rsidRPr="00753451">
        <w:rPr>
          <w:szCs w:val="24"/>
        </w:rPr>
        <w:t xml:space="preserve"> </w:t>
      </w:r>
      <w:r w:rsidR="0054662D" w:rsidRPr="00326B90">
        <w:rPr>
          <w:iCs/>
          <w:szCs w:val="24"/>
        </w:rPr>
        <w:t>“The multinational corporation has become one of the most controversial economic and political institutions of our time. What international investment does to jobs, exports, prices, income distribution, access to raw materials, taxes, and market power is debated in host and home countries alike. To some observers, multinationals threaten the international economic and political system; to others, they stabilize international relations. In one view, they are engines of progress; in another, agents of exploitation.”</w:t>
      </w:r>
    </w:p>
    <w:p w14:paraId="2B0345DD" w14:textId="590AB11E" w:rsidR="00503AAD" w:rsidRDefault="00326B90" w:rsidP="008416AD">
      <w:pPr>
        <w:spacing w:line="480" w:lineRule="auto"/>
        <w:ind w:firstLine="720"/>
        <w:rPr>
          <w:szCs w:val="24"/>
        </w:rPr>
      </w:pPr>
      <w:r>
        <w:rPr>
          <w:szCs w:val="24"/>
        </w:rPr>
        <w:lastRenderedPageBreak/>
        <w:t>When the</w:t>
      </w:r>
      <w:r w:rsidR="00DF68F8">
        <w:rPr>
          <w:szCs w:val="24"/>
        </w:rPr>
        <w:t>se authors</w:t>
      </w:r>
      <w:r>
        <w:rPr>
          <w:szCs w:val="24"/>
        </w:rPr>
        <w:t xml:space="preserve"> wrote in the </w:t>
      </w:r>
      <w:r w:rsidR="00D1119D" w:rsidRPr="00753451">
        <w:rPr>
          <w:szCs w:val="24"/>
        </w:rPr>
        <w:t>late 1970s,</w:t>
      </w:r>
      <w:r w:rsidR="00503AAD">
        <w:rPr>
          <w:szCs w:val="24"/>
        </w:rPr>
        <w:t xml:space="preserve"> the U.S. economy still exhibited its postwar economic preeminence</w:t>
      </w:r>
      <w:r w:rsidR="00DF68F8">
        <w:rPr>
          <w:szCs w:val="24"/>
        </w:rPr>
        <w:t>,</w:t>
      </w:r>
      <w:r w:rsidR="00503AAD">
        <w:rPr>
          <w:szCs w:val="24"/>
        </w:rPr>
        <w:t xml:space="preserve"> and </w:t>
      </w:r>
      <w:r w:rsidR="00D1119D" w:rsidRPr="00753451">
        <w:rPr>
          <w:szCs w:val="24"/>
        </w:rPr>
        <w:t xml:space="preserve">large U.S. </w:t>
      </w:r>
      <w:r w:rsidR="0018442A">
        <w:rPr>
          <w:szCs w:val="24"/>
        </w:rPr>
        <w:t>MNCs</w:t>
      </w:r>
      <w:r w:rsidR="00D1119D" w:rsidRPr="00753451">
        <w:rPr>
          <w:szCs w:val="24"/>
        </w:rPr>
        <w:t xml:space="preserve"> seemingly controlled the industries and markets in which they operated</w:t>
      </w:r>
      <w:r w:rsidR="00DF68F8">
        <w:rPr>
          <w:szCs w:val="24"/>
        </w:rPr>
        <w:t>, apparently</w:t>
      </w:r>
      <w:r w:rsidR="00AE2BE9">
        <w:rPr>
          <w:szCs w:val="24"/>
        </w:rPr>
        <w:t xml:space="preserve"> </w:t>
      </w:r>
      <w:r w:rsidR="00D1119D" w:rsidRPr="00753451">
        <w:rPr>
          <w:szCs w:val="24"/>
        </w:rPr>
        <w:t>able to keep foreign competitors and governments at bay.</w:t>
      </w:r>
      <w:r w:rsidR="00503AAD">
        <w:rPr>
          <w:szCs w:val="24"/>
        </w:rPr>
        <w:t xml:space="preserve"> </w:t>
      </w:r>
      <w:r w:rsidR="006F645F" w:rsidRPr="00753451">
        <w:rPr>
          <w:szCs w:val="24"/>
        </w:rPr>
        <w:t>While subsequent events offer</w:t>
      </w:r>
      <w:r w:rsidR="00B64E80" w:rsidRPr="00753451">
        <w:rPr>
          <w:szCs w:val="24"/>
        </w:rPr>
        <w:t xml:space="preserve"> </w:t>
      </w:r>
      <w:r w:rsidR="006F645F" w:rsidRPr="00753451">
        <w:rPr>
          <w:szCs w:val="24"/>
        </w:rPr>
        <w:t xml:space="preserve">new reasons to worry about the behavior of </w:t>
      </w:r>
      <w:r w:rsidR="00AE2BE9">
        <w:rPr>
          <w:szCs w:val="24"/>
        </w:rPr>
        <w:t>MNCs</w:t>
      </w:r>
      <w:r w:rsidR="00DF68F8">
        <w:rPr>
          <w:szCs w:val="24"/>
        </w:rPr>
        <w:t>,</w:t>
      </w:r>
      <w:r w:rsidR="006F645F" w:rsidRPr="00753451">
        <w:rPr>
          <w:szCs w:val="24"/>
        </w:rPr>
        <w:t xml:space="preserve"> the dire predictions of the 1970s</w:t>
      </w:r>
      <w:r w:rsidR="00843A61" w:rsidRPr="00753451">
        <w:rPr>
          <w:szCs w:val="24"/>
        </w:rPr>
        <w:t xml:space="preserve"> – that U.S. multinationals would take over the global econom</w:t>
      </w:r>
      <w:r w:rsidR="00B81D64" w:rsidRPr="00753451">
        <w:rPr>
          <w:szCs w:val="24"/>
        </w:rPr>
        <w:t>y</w:t>
      </w:r>
      <w:r w:rsidR="00843A61" w:rsidRPr="00753451">
        <w:rPr>
          <w:szCs w:val="24"/>
        </w:rPr>
        <w:t xml:space="preserve"> </w:t>
      </w:r>
      <w:proofErr w:type="gramStart"/>
      <w:r w:rsidR="00843A61" w:rsidRPr="00753451">
        <w:rPr>
          <w:szCs w:val="24"/>
        </w:rPr>
        <w:t xml:space="preserve">-- </w:t>
      </w:r>
      <w:r w:rsidR="006F645F" w:rsidRPr="00753451">
        <w:rPr>
          <w:szCs w:val="24"/>
        </w:rPr>
        <w:t xml:space="preserve"> have</w:t>
      </w:r>
      <w:proofErr w:type="gramEnd"/>
      <w:r w:rsidR="006F645F" w:rsidRPr="00753451">
        <w:rPr>
          <w:szCs w:val="24"/>
        </w:rPr>
        <w:t xml:space="preserve"> not materialized. Concerns that multinational firms, particularly those based in the U</w:t>
      </w:r>
      <w:r w:rsidR="00DF68F8">
        <w:rPr>
          <w:szCs w:val="24"/>
        </w:rPr>
        <w:t xml:space="preserve">nited </w:t>
      </w:r>
      <w:r w:rsidR="00A83CC7" w:rsidRPr="00753451">
        <w:rPr>
          <w:szCs w:val="24"/>
        </w:rPr>
        <w:t>S</w:t>
      </w:r>
      <w:r w:rsidR="00DF68F8">
        <w:rPr>
          <w:szCs w:val="24"/>
        </w:rPr>
        <w:t>tates</w:t>
      </w:r>
      <w:r w:rsidR="006F645F" w:rsidRPr="00753451">
        <w:rPr>
          <w:szCs w:val="24"/>
        </w:rPr>
        <w:t xml:space="preserve">, would overcome any constraints on their behavior did not reckon with large changes in the world economy.  </w:t>
      </w:r>
      <w:r w:rsidR="00503AAD">
        <w:rPr>
          <w:szCs w:val="24"/>
        </w:rPr>
        <w:t xml:space="preserve">Yet </w:t>
      </w:r>
      <w:r w:rsidR="00696370">
        <w:rPr>
          <w:szCs w:val="24"/>
        </w:rPr>
        <w:t xml:space="preserve">many </w:t>
      </w:r>
      <w:r w:rsidR="00503AAD">
        <w:rPr>
          <w:szCs w:val="24"/>
        </w:rPr>
        <w:t>of the 1978 concerns about MNCs persist.</w:t>
      </w:r>
    </w:p>
    <w:p w14:paraId="1201891A" w14:textId="0A39AE0F" w:rsidR="00843A61" w:rsidRPr="00503AAD" w:rsidRDefault="00503AAD" w:rsidP="008416AD">
      <w:pPr>
        <w:spacing w:line="480" w:lineRule="auto"/>
        <w:ind w:firstLine="720"/>
        <w:rPr>
          <w:i/>
          <w:iCs/>
          <w:szCs w:val="24"/>
        </w:rPr>
      </w:pPr>
      <w:r>
        <w:rPr>
          <w:szCs w:val="24"/>
        </w:rPr>
        <w:t>To lay a</w:t>
      </w:r>
      <w:r w:rsidR="00DF68F8">
        <w:rPr>
          <w:szCs w:val="24"/>
        </w:rPr>
        <w:t xml:space="preserve"> factual</w:t>
      </w:r>
      <w:r>
        <w:rPr>
          <w:szCs w:val="24"/>
        </w:rPr>
        <w:t xml:space="preserve"> foundation for the continuing debate over MNCs, </w:t>
      </w:r>
      <w:r w:rsidR="00326B90">
        <w:rPr>
          <w:szCs w:val="24"/>
        </w:rPr>
        <w:t xml:space="preserve">here are </w:t>
      </w:r>
      <w:r>
        <w:rPr>
          <w:szCs w:val="24"/>
        </w:rPr>
        <w:t xml:space="preserve">some highlights of the data on </w:t>
      </w:r>
      <w:r w:rsidR="000E6686">
        <w:rPr>
          <w:szCs w:val="24"/>
        </w:rPr>
        <w:t xml:space="preserve">multinationals </w:t>
      </w:r>
      <w:r>
        <w:rPr>
          <w:szCs w:val="24"/>
        </w:rPr>
        <w:t xml:space="preserve">corporations presented in </w:t>
      </w:r>
      <w:r>
        <w:rPr>
          <w:i/>
          <w:iCs/>
          <w:szCs w:val="24"/>
        </w:rPr>
        <w:t xml:space="preserve">Global Goliaths. </w:t>
      </w:r>
    </w:p>
    <w:p w14:paraId="51E279A8" w14:textId="56600FD6" w:rsidR="00A83CC7" w:rsidRPr="00753451" w:rsidRDefault="00A83CC7" w:rsidP="008416AD">
      <w:pPr>
        <w:spacing w:line="480" w:lineRule="auto"/>
        <w:ind w:firstLine="720"/>
        <w:rPr>
          <w:szCs w:val="24"/>
        </w:rPr>
      </w:pPr>
      <w:r w:rsidRPr="00753451">
        <w:rPr>
          <w:szCs w:val="24"/>
        </w:rPr>
        <w:t>MULTINATIONALS ARE MAJOR PLAYERS IN THE ECONOMY</w:t>
      </w:r>
    </w:p>
    <w:p w14:paraId="3E4C6733" w14:textId="603634A1" w:rsidR="00A83CC7" w:rsidRDefault="00A83CC7" w:rsidP="002E32BF">
      <w:pPr>
        <w:spacing w:line="480" w:lineRule="auto"/>
        <w:jc w:val="center"/>
        <w:rPr>
          <w:szCs w:val="24"/>
        </w:rPr>
      </w:pPr>
      <w:r w:rsidRPr="00753451">
        <w:rPr>
          <w:szCs w:val="24"/>
        </w:rPr>
        <w:t>Figure 1-</w:t>
      </w:r>
      <w:proofErr w:type="gramStart"/>
      <w:r w:rsidRPr="00753451">
        <w:rPr>
          <w:szCs w:val="24"/>
        </w:rPr>
        <w:t>1</w:t>
      </w:r>
      <w:r w:rsidR="001A13BC">
        <w:rPr>
          <w:szCs w:val="24"/>
        </w:rPr>
        <w:t xml:space="preserve"> </w:t>
      </w:r>
      <w:r w:rsidR="00801C8F">
        <w:rPr>
          <w:szCs w:val="24"/>
        </w:rPr>
        <w:t xml:space="preserve"> </w:t>
      </w:r>
      <w:r w:rsidR="001A13BC" w:rsidRPr="001A13BC">
        <w:rPr>
          <w:szCs w:val="24"/>
        </w:rPr>
        <w:t>Multinationals</w:t>
      </w:r>
      <w:proofErr w:type="gramEnd"/>
      <w:r w:rsidR="001A13BC" w:rsidRPr="001A13BC">
        <w:rPr>
          <w:szCs w:val="24"/>
        </w:rPr>
        <w:t>' Share of U.S. Economic Activity in 2017</w:t>
      </w:r>
    </w:p>
    <w:p w14:paraId="0C85EFE1" w14:textId="5C4A50B8" w:rsidR="001A13BC" w:rsidRPr="00753451" w:rsidRDefault="001A13BC" w:rsidP="001A13BC">
      <w:pPr>
        <w:spacing w:line="480" w:lineRule="auto"/>
        <w:jc w:val="center"/>
        <w:rPr>
          <w:szCs w:val="24"/>
        </w:rPr>
      </w:pPr>
      <w:commentRangeStart w:id="0"/>
      <w:r>
        <w:rPr>
          <w:noProof/>
        </w:rPr>
        <w:drawing>
          <wp:inline distT="0" distB="0" distL="0" distR="0" wp14:anchorId="2A078C6B" wp14:editId="62121BBD">
            <wp:extent cx="6216650" cy="3708400"/>
            <wp:effectExtent l="0" t="0" r="12700" b="6350"/>
            <wp:docPr id="1" name="Chart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commentRangeEnd w:id="0"/>
      <w:r w:rsidR="00A45764">
        <w:rPr>
          <w:rStyle w:val="CommentReference"/>
        </w:rPr>
        <w:commentReference w:id="0"/>
      </w:r>
    </w:p>
    <w:p w14:paraId="2ECEC39F" w14:textId="323E33BE" w:rsidR="00696370" w:rsidRPr="00753451" w:rsidRDefault="007910C9" w:rsidP="00696370">
      <w:pPr>
        <w:spacing w:line="480" w:lineRule="auto"/>
        <w:ind w:firstLine="720"/>
        <w:rPr>
          <w:szCs w:val="24"/>
        </w:rPr>
      </w:pPr>
      <w:r>
        <w:rPr>
          <w:szCs w:val="24"/>
        </w:rPr>
        <w:lastRenderedPageBreak/>
        <w:t>M</w:t>
      </w:r>
      <w:r w:rsidR="006F645F" w:rsidRPr="00753451">
        <w:rPr>
          <w:szCs w:val="24"/>
        </w:rPr>
        <w:t>ultinationals</w:t>
      </w:r>
      <w:r>
        <w:rPr>
          <w:szCs w:val="24"/>
        </w:rPr>
        <w:t xml:space="preserve"> are major contributors to the U.S. economy.  U.S.-headquartered MNCs</w:t>
      </w:r>
      <w:r w:rsidR="006F645F" w:rsidRPr="00753451">
        <w:rPr>
          <w:szCs w:val="24"/>
        </w:rPr>
        <w:t xml:space="preserve"> accounted for 20.1 percent of all U.S. private sector employment</w:t>
      </w:r>
      <w:r w:rsidR="00A83CC7" w:rsidRPr="00753451">
        <w:rPr>
          <w:szCs w:val="24"/>
        </w:rPr>
        <w:t xml:space="preserve"> in 2017</w:t>
      </w:r>
      <w:r w:rsidR="00326B90">
        <w:rPr>
          <w:szCs w:val="24"/>
        </w:rPr>
        <w:t>, and fo</w:t>
      </w:r>
      <w:r w:rsidR="006F645F" w:rsidRPr="00753451">
        <w:rPr>
          <w:szCs w:val="24"/>
        </w:rPr>
        <w:t xml:space="preserve">reign-headquartered firms accounted for another 6.4 percent. </w:t>
      </w:r>
      <w:r w:rsidR="00B64E80" w:rsidRPr="00753451">
        <w:rPr>
          <w:szCs w:val="24"/>
        </w:rPr>
        <w:t xml:space="preserve"> And that does</w:t>
      </w:r>
      <w:r>
        <w:rPr>
          <w:szCs w:val="24"/>
        </w:rPr>
        <w:t xml:space="preserve"> </w:t>
      </w:r>
      <w:r w:rsidR="00B64E80" w:rsidRPr="00753451">
        <w:rPr>
          <w:szCs w:val="24"/>
        </w:rPr>
        <w:t>n</w:t>
      </w:r>
      <w:r>
        <w:rPr>
          <w:szCs w:val="24"/>
        </w:rPr>
        <w:t>o</w:t>
      </w:r>
      <w:r w:rsidR="00B64E80" w:rsidRPr="00753451">
        <w:rPr>
          <w:szCs w:val="24"/>
        </w:rPr>
        <w:t>t count workers at their suppliers and customers</w:t>
      </w:r>
      <w:r w:rsidR="006F645F" w:rsidRPr="00753451">
        <w:rPr>
          <w:szCs w:val="24"/>
        </w:rPr>
        <w:t xml:space="preserve">. Jobs at multinationals tend to pay more, on average, than others, </w:t>
      </w:r>
      <w:r w:rsidR="00696370">
        <w:rPr>
          <w:szCs w:val="24"/>
        </w:rPr>
        <w:t xml:space="preserve">in part due to the industries in which MNCs are most active and the occupations of the workers they employ, </w:t>
      </w:r>
      <w:r w:rsidR="006F645F" w:rsidRPr="00753451">
        <w:rPr>
          <w:szCs w:val="24"/>
        </w:rPr>
        <w:t>so multinationals account for a larger share of total labor compensation than their share of workers</w:t>
      </w:r>
      <w:r w:rsidR="00A83CC7" w:rsidRPr="00753451">
        <w:rPr>
          <w:szCs w:val="24"/>
        </w:rPr>
        <w:t xml:space="preserve">. </w:t>
      </w:r>
    </w:p>
    <w:p w14:paraId="6ADDDE7B" w14:textId="59E2C9D9" w:rsidR="006F645F" w:rsidRPr="00753451" w:rsidRDefault="006F645F" w:rsidP="008416AD">
      <w:pPr>
        <w:spacing w:line="480" w:lineRule="auto"/>
        <w:ind w:firstLine="720"/>
        <w:rPr>
          <w:szCs w:val="24"/>
        </w:rPr>
      </w:pPr>
      <w:r w:rsidRPr="00753451">
        <w:rPr>
          <w:szCs w:val="24"/>
        </w:rPr>
        <w:t xml:space="preserve">Multinationals play a particularly large role in manufacturing: </w:t>
      </w:r>
      <w:r w:rsidR="007910C9">
        <w:rPr>
          <w:szCs w:val="24"/>
        </w:rPr>
        <w:t>m</w:t>
      </w:r>
      <w:r w:rsidR="006F1CCA" w:rsidRPr="00753451">
        <w:rPr>
          <w:szCs w:val="24"/>
        </w:rPr>
        <w:t xml:space="preserve">ore than 70% of all </w:t>
      </w:r>
      <w:r w:rsidR="007910C9">
        <w:rPr>
          <w:szCs w:val="24"/>
        </w:rPr>
        <w:t xml:space="preserve">U.S. </w:t>
      </w:r>
      <w:r w:rsidR="006F1CCA" w:rsidRPr="00753451">
        <w:rPr>
          <w:szCs w:val="24"/>
        </w:rPr>
        <w:t xml:space="preserve">manufacturing employment is </w:t>
      </w:r>
      <w:r w:rsidR="007910C9">
        <w:rPr>
          <w:szCs w:val="24"/>
        </w:rPr>
        <w:t>in</w:t>
      </w:r>
      <w:r w:rsidR="006F1CCA" w:rsidRPr="00753451">
        <w:rPr>
          <w:szCs w:val="24"/>
        </w:rPr>
        <w:t xml:space="preserve"> </w:t>
      </w:r>
      <w:r w:rsidR="00326B90">
        <w:rPr>
          <w:szCs w:val="24"/>
        </w:rPr>
        <w:t>MNC</w:t>
      </w:r>
      <w:r w:rsidR="007910C9">
        <w:rPr>
          <w:szCs w:val="24"/>
        </w:rPr>
        <w:t>s</w:t>
      </w:r>
      <w:r w:rsidRPr="00753451">
        <w:rPr>
          <w:szCs w:val="24"/>
        </w:rPr>
        <w:t>.</w:t>
      </w:r>
      <w:r w:rsidR="00326B90">
        <w:rPr>
          <w:szCs w:val="24"/>
        </w:rPr>
        <w:t xml:space="preserve"> </w:t>
      </w:r>
      <w:r w:rsidRPr="00753451">
        <w:rPr>
          <w:szCs w:val="24"/>
        </w:rPr>
        <w:t>Multinational firms accounted for more than half of all non-residential capital expenditures and more than 80 percent of all industrial R&amp;D done in the United States.</w:t>
      </w:r>
      <w:r w:rsidR="00A83CC7" w:rsidRPr="00753451">
        <w:rPr>
          <w:szCs w:val="24"/>
        </w:rPr>
        <w:t xml:space="preserve"> M</w:t>
      </w:r>
      <w:r w:rsidRPr="00753451">
        <w:rPr>
          <w:szCs w:val="24"/>
        </w:rPr>
        <w:t xml:space="preserve">ultinationals account for </w:t>
      </w:r>
      <w:r w:rsidR="006F1CCA" w:rsidRPr="00753451">
        <w:rPr>
          <w:szCs w:val="24"/>
        </w:rPr>
        <w:t xml:space="preserve">more than half </w:t>
      </w:r>
      <w:r w:rsidRPr="00753451">
        <w:rPr>
          <w:szCs w:val="24"/>
        </w:rPr>
        <w:t xml:space="preserve">of U.S. </w:t>
      </w:r>
      <w:r w:rsidR="006F1CCA" w:rsidRPr="00753451">
        <w:rPr>
          <w:szCs w:val="24"/>
        </w:rPr>
        <w:t xml:space="preserve">exports and imports of goods and services. </w:t>
      </w:r>
    </w:p>
    <w:p w14:paraId="08EB5EC8" w14:textId="7B0C5CC2" w:rsidR="00A83CC7" w:rsidRPr="00753451" w:rsidRDefault="00176D5A" w:rsidP="008416AD">
      <w:pPr>
        <w:spacing w:line="480" w:lineRule="auto"/>
        <w:ind w:firstLine="720"/>
        <w:rPr>
          <w:szCs w:val="24"/>
        </w:rPr>
      </w:pPr>
      <w:r w:rsidRPr="00753451">
        <w:rPr>
          <w:szCs w:val="24"/>
        </w:rPr>
        <w:t xml:space="preserve">MOST </w:t>
      </w:r>
      <w:r w:rsidR="00696370">
        <w:rPr>
          <w:szCs w:val="24"/>
        </w:rPr>
        <w:t>MNC</w:t>
      </w:r>
      <w:r w:rsidRPr="00753451">
        <w:rPr>
          <w:szCs w:val="24"/>
        </w:rPr>
        <w:t xml:space="preserve"> EMPLOYEES ARE IN HIGH-WAGE </w:t>
      </w:r>
      <w:commentRangeStart w:id="1"/>
      <w:r w:rsidRPr="00753451">
        <w:rPr>
          <w:szCs w:val="24"/>
        </w:rPr>
        <w:t>ECONOMIES</w:t>
      </w:r>
      <w:commentRangeEnd w:id="1"/>
      <w:r w:rsidR="007C3E39">
        <w:rPr>
          <w:rStyle w:val="CommentReference"/>
        </w:rPr>
        <w:commentReference w:id="1"/>
      </w:r>
      <w:r w:rsidRPr="00753451">
        <w:rPr>
          <w:szCs w:val="24"/>
        </w:rPr>
        <w:t>.</w:t>
      </w:r>
    </w:p>
    <w:p w14:paraId="0988A8A5" w14:textId="76F82A5C" w:rsidR="00B72CEA" w:rsidRDefault="00B72CEA" w:rsidP="002E32BF">
      <w:pPr>
        <w:spacing w:line="480" w:lineRule="auto"/>
        <w:jc w:val="center"/>
        <w:rPr>
          <w:szCs w:val="24"/>
        </w:rPr>
      </w:pPr>
      <w:r w:rsidRPr="00753451">
        <w:rPr>
          <w:szCs w:val="24"/>
        </w:rPr>
        <w:t>F</w:t>
      </w:r>
      <w:r w:rsidR="00093440">
        <w:rPr>
          <w:szCs w:val="24"/>
        </w:rPr>
        <w:t>igure</w:t>
      </w:r>
      <w:r w:rsidRPr="00753451">
        <w:rPr>
          <w:szCs w:val="24"/>
        </w:rPr>
        <w:t xml:space="preserve"> 1-</w:t>
      </w:r>
      <w:proofErr w:type="gramStart"/>
      <w:r w:rsidRPr="00753451">
        <w:rPr>
          <w:szCs w:val="24"/>
        </w:rPr>
        <w:t>2</w:t>
      </w:r>
      <w:r w:rsidR="00801C8F">
        <w:rPr>
          <w:szCs w:val="24"/>
        </w:rPr>
        <w:t xml:space="preserve">  </w:t>
      </w:r>
      <w:r w:rsidR="00801C8F" w:rsidRPr="00801C8F">
        <w:rPr>
          <w:szCs w:val="24"/>
        </w:rPr>
        <w:t>The</w:t>
      </w:r>
      <w:proofErr w:type="gramEnd"/>
      <w:r w:rsidR="00801C8F" w:rsidRPr="00801C8F">
        <w:rPr>
          <w:szCs w:val="24"/>
        </w:rPr>
        <w:t xml:space="preserve"> Share of U.S. MNC Foreign Affiliate Employment by Host Country Income</w:t>
      </w:r>
    </w:p>
    <w:p w14:paraId="6E531CE9" w14:textId="4BA19DB7" w:rsidR="00AC253A" w:rsidRPr="00753451" w:rsidRDefault="00801C8F" w:rsidP="00801C8F">
      <w:pPr>
        <w:spacing w:line="480" w:lineRule="auto"/>
        <w:jc w:val="center"/>
        <w:rPr>
          <w:szCs w:val="24"/>
        </w:rPr>
      </w:pPr>
      <w:r>
        <w:rPr>
          <w:noProof/>
        </w:rPr>
        <w:drawing>
          <wp:inline distT="0" distB="0" distL="0" distR="0" wp14:anchorId="122C5BD6" wp14:editId="6FD4D885">
            <wp:extent cx="5829300" cy="3009900"/>
            <wp:effectExtent l="0" t="0" r="0" b="0"/>
            <wp:docPr id="2" name="Chart 2">
              <a:extLst xmlns:a="http://schemas.openxmlformats.org/drawingml/2006/main">
                <a:ext uri="{FF2B5EF4-FFF2-40B4-BE49-F238E27FC236}">
                  <a16:creationId xmlns:a16="http://schemas.microsoft.com/office/drawing/2014/main" id="{00000000-0008-0000-0100-000004000000}"/>
                </a:ext>
                <a:ext uri="{147F2762-F138-4A5C-976F-8EAC2B608ADB}">
                  <a16:predDERef xmlns:a16="http://schemas.microsoft.com/office/drawing/2014/main" pred="{00000000-0008-0000-01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BE053DB" w14:textId="53DBF1CB" w:rsidR="007D37B5" w:rsidRDefault="00326B90" w:rsidP="00B45BB8">
      <w:pPr>
        <w:spacing w:line="480" w:lineRule="auto"/>
        <w:ind w:firstLine="720"/>
        <w:rPr>
          <w:color w:val="000000"/>
          <w:shd w:val="clear" w:color="auto" w:fill="FFFFFF"/>
        </w:rPr>
      </w:pPr>
      <w:r>
        <w:rPr>
          <w:szCs w:val="24"/>
        </w:rPr>
        <w:lastRenderedPageBreak/>
        <w:t xml:space="preserve">Rather than locating production strictly </w:t>
      </w:r>
      <w:r w:rsidR="00696370">
        <w:rPr>
          <w:szCs w:val="24"/>
        </w:rPr>
        <w:t>i</w:t>
      </w:r>
      <w:r>
        <w:rPr>
          <w:szCs w:val="24"/>
        </w:rPr>
        <w:t>n the lowest-wage countries, m</w:t>
      </w:r>
      <w:r w:rsidR="006F645F" w:rsidRPr="00753451">
        <w:rPr>
          <w:szCs w:val="24"/>
        </w:rPr>
        <w:t xml:space="preserve">ultinational firms </w:t>
      </w:r>
      <w:r w:rsidR="00B72CEA" w:rsidRPr="00753451">
        <w:rPr>
          <w:szCs w:val="24"/>
        </w:rPr>
        <w:t xml:space="preserve">tend to </w:t>
      </w:r>
      <w:r w:rsidR="006F645F" w:rsidRPr="00753451">
        <w:rPr>
          <w:szCs w:val="24"/>
        </w:rPr>
        <w:t>perform similar activities in different locations so they can be close to their customers</w:t>
      </w:r>
      <w:r w:rsidR="00B72CEA" w:rsidRPr="00753451">
        <w:rPr>
          <w:szCs w:val="24"/>
        </w:rPr>
        <w:t xml:space="preserve">. </w:t>
      </w:r>
      <w:r w:rsidR="006F645F" w:rsidRPr="00753451">
        <w:rPr>
          <w:szCs w:val="24"/>
        </w:rPr>
        <w:t xml:space="preserve"> </w:t>
      </w:r>
      <w:r>
        <w:rPr>
          <w:szCs w:val="24"/>
        </w:rPr>
        <w:t>Nearly half of the foreign employees of U.S.-</w:t>
      </w:r>
      <w:proofErr w:type="spellStart"/>
      <w:r>
        <w:rPr>
          <w:szCs w:val="24"/>
        </w:rPr>
        <w:t>headqquarteed</w:t>
      </w:r>
      <w:proofErr w:type="spellEnd"/>
      <w:r>
        <w:rPr>
          <w:szCs w:val="24"/>
        </w:rPr>
        <w:t xml:space="preserve"> MNCs were in high-income countries in 2017, </w:t>
      </w:r>
      <w:r w:rsidR="00EB74DF">
        <w:rPr>
          <w:szCs w:val="24"/>
        </w:rPr>
        <w:t>a</w:t>
      </w:r>
      <w:r w:rsidR="00EB74DF" w:rsidRPr="00753451">
        <w:rPr>
          <w:szCs w:val="24"/>
        </w:rPr>
        <w:t xml:space="preserve"> significant decline from the three-quarters in the 1980s. </w:t>
      </w:r>
      <w:r w:rsidR="006F645F" w:rsidRPr="00753451">
        <w:rPr>
          <w:szCs w:val="24"/>
        </w:rPr>
        <w:t xml:space="preserve"> </w:t>
      </w:r>
      <w:r w:rsidR="00B53F85">
        <w:rPr>
          <w:szCs w:val="24"/>
        </w:rPr>
        <w:t>A</w:t>
      </w:r>
      <w:r w:rsidR="00EB74DF">
        <w:rPr>
          <w:szCs w:val="24"/>
        </w:rPr>
        <w:t xml:space="preserve"> rising share of U.S.-based MNC employees </w:t>
      </w:r>
      <w:r w:rsidR="006F645F" w:rsidRPr="00753451">
        <w:rPr>
          <w:szCs w:val="24"/>
        </w:rPr>
        <w:t>in</w:t>
      </w:r>
      <w:r w:rsidR="00EB74DF">
        <w:rPr>
          <w:szCs w:val="24"/>
        </w:rPr>
        <w:t xml:space="preserve"> upper-</w:t>
      </w:r>
      <w:r w:rsidR="006F645F" w:rsidRPr="00753451">
        <w:rPr>
          <w:szCs w:val="24"/>
        </w:rPr>
        <w:t>middle-income countries (such as Brazil and China) portend</w:t>
      </w:r>
      <w:r w:rsidR="00B53F85">
        <w:rPr>
          <w:szCs w:val="24"/>
        </w:rPr>
        <w:t>s further</w:t>
      </w:r>
      <w:r w:rsidR="006F645F" w:rsidRPr="00753451">
        <w:rPr>
          <w:szCs w:val="24"/>
        </w:rPr>
        <w:t xml:space="preserve"> change.</w:t>
      </w:r>
      <w:r w:rsidR="00B45BB8" w:rsidRPr="00753451">
        <w:rPr>
          <w:szCs w:val="24"/>
        </w:rPr>
        <w:t xml:space="preserve"> </w:t>
      </w:r>
      <w:r w:rsidR="00B72CEA" w:rsidRPr="00753451">
        <w:rPr>
          <w:szCs w:val="24"/>
        </w:rPr>
        <w:t>I</w:t>
      </w:r>
      <w:r w:rsidR="006F645F" w:rsidRPr="00753451">
        <w:rPr>
          <w:szCs w:val="24"/>
        </w:rPr>
        <w:t xml:space="preserve">f U.S. multinational firms were motivated </w:t>
      </w:r>
      <w:r w:rsidR="006F645F" w:rsidRPr="00753451">
        <w:rPr>
          <w:iCs/>
          <w:szCs w:val="24"/>
        </w:rPr>
        <w:t>primarily</w:t>
      </w:r>
      <w:r w:rsidR="006F645F" w:rsidRPr="00753451">
        <w:rPr>
          <w:szCs w:val="24"/>
        </w:rPr>
        <w:t xml:space="preserve"> by a quest for low-wage, lightly regulated locations, one would have expected an even sharper decline in high-income employment, and at least some growth in the employment share of affiliates in low-income countries</w:t>
      </w:r>
      <w:r w:rsidR="00B53F85">
        <w:rPr>
          <w:szCs w:val="24"/>
        </w:rPr>
        <w:t>.</w:t>
      </w:r>
      <w:r w:rsidR="007D37B5" w:rsidRPr="007D37B5">
        <w:rPr>
          <w:color w:val="000000"/>
          <w:shd w:val="clear" w:color="auto" w:fill="FFFFFF"/>
        </w:rPr>
        <w:t xml:space="preserve"> </w:t>
      </w:r>
      <w:r w:rsidR="00696370">
        <w:rPr>
          <w:color w:val="000000"/>
          <w:shd w:val="clear" w:color="auto" w:fill="FFFFFF"/>
        </w:rPr>
        <w:t xml:space="preserve">Looking at the top ten offshoring </w:t>
      </w:r>
      <w:proofErr w:type="spellStart"/>
      <w:r w:rsidR="00696370">
        <w:rPr>
          <w:color w:val="000000"/>
          <w:shd w:val="clear" w:color="auto" w:fill="FFFFFF"/>
        </w:rPr>
        <w:t>destingation</w:t>
      </w:r>
      <w:proofErr w:type="spellEnd"/>
      <w:r w:rsidR="00696370">
        <w:rPr>
          <w:color w:val="000000"/>
          <w:shd w:val="clear" w:color="auto" w:fill="FFFFFF"/>
        </w:rPr>
        <w:t xml:space="preserve"> of U.S.-based firms by value-</w:t>
      </w:r>
      <w:proofErr w:type="spellStart"/>
      <w:proofErr w:type="gramStart"/>
      <w:r w:rsidR="00696370">
        <w:rPr>
          <w:color w:val="000000"/>
          <w:shd w:val="clear" w:color="auto" w:fill="FFFFFF"/>
        </w:rPr>
        <w:t>edded</w:t>
      </w:r>
      <w:proofErr w:type="spellEnd"/>
      <w:r w:rsidR="00696370">
        <w:rPr>
          <w:color w:val="000000"/>
          <w:shd w:val="clear" w:color="auto" w:fill="FFFFFF"/>
        </w:rPr>
        <w:t xml:space="preserve">, </w:t>
      </w:r>
      <w:r w:rsidR="007D37B5" w:rsidRPr="00753451">
        <w:rPr>
          <w:color w:val="000000"/>
          <w:shd w:val="clear" w:color="auto" w:fill="FFFFFF"/>
        </w:rPr>
        <w:t xml:space="preserve"> </w:t>
      </w:r>
      <w:r w:rsidR="00696370">
        <w:rPr>
          <w:color w:val="000000"/>
          <w:shd w:val="clear" w:color="auto" w:fill="FFFFFF"/>
        </w:rPr>
        <w:t>only</w:t>
      </w:r>
      <w:proofErr w:type="gramEnd"/>
      <w:r w:rsidR="00696370">
        <w:rPr>
          <w:color w:val="000000"/>
          <w:shd w:val="clear" w:color="auto" w:fill="FFFFFF"/>
        </w:rPr>
        <w:t xml:space="preserve"> two, </w:t>
      </w:r>
      <w:r w:rsidR="007D37B5" w:rsidRPr="00753451">
        <w:rPr>
          <w:color w:val="000000"/>
          <w:shd w:val="clear" w:color="auto" w:fill="FFFFFF"/>
        </w:rPr>
        <w:t>Mexico and China, are developing countries</w:t>
      </w:r>
      <w:r w:rsidR="00696370">
        <w:rPr>
          <w:color w:val="000000"/>
          <w:shd w:val="clear" w:color="auto" w:fill="FFFFFF"/>
        </w:rPr>
        <w:t xml:space="preserve">, and combined they account for only </w:t>
      </w:r>
      <w:r w:rsidR="007D37B5" w:rsidRPr="00753451">
        <w:rPr>
          <w:color w:val="000000"/>
          <w:shd w:val="clear" w:color="auto" w:fill="FFFFFF"/>
        </w:rPr>
        <w:t>14 percent of aggregate value</w:t>
      </w:r>
      <w:r w:rsidR="00C001AB">
        <w:rPr>
          <w:color w:val="000000"/>
          <w:shd w:val="clear" w:color="auto" w:fill="FFFFFF"/>
        </w:rPr>
        <w:t>-</w:t>
      </w:r>
      <w:r w:rsidR="007D37B5" w:rsidRPr="00753451">
        <w:rPr>
          <w:color w:val="000000"/>
          <w:shd w:val="clear" w:color="auto" w:fill="FFFFFF"/>
        </w:rPr>
        <w:t xml:space="preserve">added in those ten locations. </w:t>
      </w:r>
    </w:p>
    <w:p w14:paraId="58348ABF" w14:textId="37D7DAAE" w:rsidR="00B72CEA" w:rsidRPr="00753451" w:rsidRDefault="00B72CEA" w:rsidP="00B45BB8">
      <w:pPr>
        <w:spacing w:line="480" w:lineRule="auto"/>
        <w:ind w:firstLine="720"/>
        <w:rPr>
          <w:szCs w:val="24"/>
        </w:rPr>
      </w:pPr>
      <w:r w:rsidRPr="00753451">
        <w:rPr>
          <w:szCs w:val="24"/>
        </w:rPr>
        <w:t>MULTINATIONALS’ MARKETS HAVE SHIFTED TOWARD ASIA.</w:t>
      </w:r>
    </w:p>
    <w:p w14:paraId="59B393C8" w14:textId="4723E435" w:rsidR="00C5040F" w:rsidRDefault="00B72CEA" w:rsidP="002E32BF">
      <w:pPr>
        <w:spacing w:line="480" w:lineRule="auto"/>
        <w:jc w:val="center"/>
        <w:rPr>
          <w:szCs w:val="24"/>
        </w:rPr>
      </w:pPr>
      <w:r w:rsidRPr="00753451">
        <w:rPr>
          <w:szCs w:val="24"/>
        </w:rPr>
        <w:t>Figure 1-</w:t>
      </w:r>
      <w:proofErr w:type="gramStart"/>
      <w:r w:rsidR="00C5040F">
        <w:rPr>
          <w:szCs w:val="24"/>
        </w:rPr>
        <w:t xml:space="preserve">3  </w:t>
      </w:r>
      <w:r w:rsidR="00C5040F" w:rsidRPr="00C5040F">
        <w:rPr>
          <w:szCs w:val="24"/>
        </w:rPr>
        <w:t>The</w:t>
      </w:r>
      <w:proofErr w:type="gramEnd"/>
      <w:r w:rsidR="00C5040F" w:rsidRPr="00C5040F">
        <w:rPr>
          <w:szCs w:val="24"/>
        </w:rPr>
        <w:t xml:space="preserve"> Share of U.S. MNC Foreign Affiliate Sales, by Affiliate </w:t>
      </w:r>
      <w:commentRangeStart w:id="2"/>
      <w:r w:rsidR="00C5040F" w:rsidRPr="00C5040F">
        <w:rPr>
          <w:szCs w:val="24"/>
        </w:rPr>
        <w:t>Location</w:t>
      </w:r>
      <w:commentRangeEnd w:id="2"/>
      <w:r w:rsidR="007C3E39">
        <w:rPr>
          <w:rStyle w:val="CommentReference"/>
        </w:rPr>
        <w:commentReference w:id="2"/>
      </w:r>
    </w:p>
    <w:p w14:paraId="06C3A7C2" w14:textId="20AA7896" w:rsidR="00C5040F" w:rsidRDefault="00C5040F" w:rsidP="00C5040F">
      <w:pPr>
        <w:spacing w:line="480" w:lineRule="auto"/>
        <w:rPr>
          <w:szCs w:val="24"/>
        </w:rPr>
      </w:pPr>
      <w:r>
        <w:rPr>
          <w:noProof/>
        </w:rPr>
        <w:drawing>
          <wp:inline distT="0" distB="0" distL="0" distR="0" wp14:anchorId="46E0C3DF" wp14:editId="477CF725">
            <wp:extent cx="5924550" cy="3352800"/>
            <wp:effectExtent l="0" t="0" r="0" b="0"/>
            <wp:docPr id="3" name="Chart 3">
              <a:extLst xmlns:a="http://schemas.openxmlformats.org/drawingml/2006/main">
                <a:ext uri="{FF2B5EF4-FFF2-40B4-BE49-F238E27FC236}">
                  <a16:creationId xmlns:a16="http://schemas.microsoft.com/office/drawing/2014/main" id="{00000000-0008-0000-02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4EA3052" w14:textId="77777777" w:rsidR="00C5040F" w:rsidRDefault="00C5040F" w:rsidP="00B45BB8">
      <w:pPr>
        <w:spacing w:line="480" w:lineRule="auto"/>
        <w:ind w:firstLine="720"/>
        <w:rPr>
          <w:szCs w:val="24"/>
        </w:rPr>
      </w:pPr>
    </w:p>
    <w:p w14:paraId="62ABEFDE" w14:textId="402EB5A9" w:rsidR="006F645F" w:rsidRPr="00753451" w:rsidRDefault="000E6686" w:rsidP="00B45BB8">
      <w:pPr>
        <w:spacing w:line="480" w:lineRule="auto"/>
        <w:ind w:firstLine="720"/>
        <w:rPr>
          <w:szCs w:val="24"/>
        </w:rPr>
      </w:pPr>
      <w:r>
        <w:rPr>
          <w:szCs w:val="24"/>
        </w:rPr>
        <w:t xml:space="preserve">As Asian economies have grown so too has the presence of MNCs in Asia. </w:t>
      </w:r>
      <w:r w:rsidR="00B72CEA" w:rsidRPr="00753451">
        <w:rPr>
          <w:szCs w:val="24"/>
        </w:rPr>
        <w:t xml:space="preserve">The share of </w:t>
      </w:r>
      <w:r w:rsidR="006F645F" w:rsidRPr="00753451">
        <w:rPr>
          <w:szCs w:val="24"/>
        </w:rPr>
        <w:t xml:space="preserve">worldwide sales of U.S. multinationals’ foreign affiliates </w:t>
      </w:r>
      <w:r w:rsidR="00EB74DF">
        <w:rPr>
          <w:szCs w:val="24"/>
        </w:rPr>
        <w:t xml:space="preserve">in Asia </w:t>
      </w:r>
      <w:r w:rsidR="00B53F85">
        <w:rPr>
          <w:szCs w:val="24"/>
        </w:rPr>
        <w:t>rose</w:t>
      </w:r>
      <w:r w:rsidR="00B72CEA" w:rsidRPr="00753451">
        <w:rPr>
          <w:szCs w:val="24"/>
        </w:rPr>
        <w:t xml:space="preserve"> from </w:t>
      </w:r>
      <w:r w:rsidR="006F645F" w:rsidRPr="00753451">
        <w:rPr>
          <w:szCs w:val="24"/>
        </w:rPr>
        <w:t>14 percent in 1982 to 28 percent in 2017</w:t>
      </w:r>
      <w:r w:rsidR="000952E4" w:rsidRPr="00753451">
        <w:rPr>
          <w:szCs w:val="24"/>
        </w:rPr>
        <w:t xml:space="preserve"> as the </w:t>
      </w:r>
      <w:r w:rsidR="00EB74DF">
        <w:rPr>
          <w:szCs w:val="24"/>
        </w:rPr>
        <w:t>share</w:t>
      </w:r>
      <w:r w:rsidR="00B53F85">
        <w:rPr>
          <w:szCs w:val="24"/>
        </w:rPr>
        <w:t>s</w:t>
      </w:r>
      <w:r w:rsidR="00EB74DF">
        <w:rPr>
          <w:szCs w:val="24"/>
        </w:rPr>
        <w:t xml:space="preserve"> in </w:t>
      </w:r>
      <w:r w:rsidR="000952E4" w:rsidRPr="00753451">
        <w:rPr>
          <w:szCs w:val="24"/>
        </w:rPr>
        <w:t>Europe</w:t>
      </w:r>
      <w:r w:rsidR="00EB74DF">
        <w:rPr>
          <w:szCs w:val="24"/>
        </w:rPr>
        <w:t xml:space="preserve"> </w:t>
      </w:r>
      <w:r w:rsidR="000952E4" w:rsidRPr="00753451">
        <w:rPr>
          <w:szCs w:val="24"/>
        </w:rPr>
        <w:t xml:space="preserve">and Canada </w:t>
      </w:r>
      <w:r w:rsidR="00B53F85">
        <w:rPr>
          <w:szCs w:val="24"/>
        </w:rPr>
        <w:t>declined</w:t>
      </w:r>
      <w:r w:rsidR="000952E4" w:rsidRPr="00753451">
        <w:rPr>
          <w:szCs w:val="24"/>
        </w:rPr>
        <w:t xml:space="preserve">. </w:t>
      </w:r>
    </w:p>
    <w:p w14:paraId="3390FBCA" w14:textId="5AFBD9C7" w:rsidR="00B72CEA" w:rsidRPr="00753451" w:rsidRDefault="00B53F85" w:rsidP="00B45BB8">
      <w:pPr>
        <w:spacing w:line="480" w:lineRule="auto"/>
        <w:ind w:firstLine="720"/>
        <w:rPr>
          <w:szCs w:val="24"/>
        </w:rPr>
      </w:pPr>
      <w:r>
        <w:rPr>
          <w:szCs w:val="24"/>
        </w:rPr>
        <w:t xml:space="preserve">THE U.S. OPERATIONS OF </w:t>
      </w:r>
      <w:r w:rsidR="00F212B3" w:rsidRPr="00753451">
        <w:rPr>
          <w:szCs w:val="24"/>
        </w:rPr>
        <w:t>U.S. M</w:t>
      </w:r>
      <w:r>
        <w:rPr>
          <w:szCs w:val="24"/>
        </w:rPr>
        <w:t>NCs</w:t>
      </w:r>
      <w:r w:rsidR="00F212B3" w:rsidRPr="00753451">
        <w:rPr>
          <w:szCs w:val="24"/>
        </w:rPr>
        <w:t xml:space="preserve"> HAVE GROWN AT ROUGHLY THE SAME PACE AS THE U.S. ECONOMY. </w:t>
      </w:r>
    </w:p>
    <w:p w14:paraId="084FC9D0" w14:textId="47CF7B0A" w:rsidR="00F212B3" w:rsidRPr="00753451" w:rsidRDefault="00F212B3" w:rsidP="005D60CF">
      <w:pPr>
        <w:spacing w:line="480" w:lineRule="auto"/>
        <w:jc w:val="center"/>
        <w:rPr>
          <w:szCs w:val="24"/>
        </w:rPr>
      </w:pPr>
      <w:r w:rsidRPr="00753451">
        <w:rPr>
          <w:szCs w:val="24"/>
        </w:rPr>
        <w:t>F</w:t>
      </w:r>
      <w:r w:rsidR="00DA2CBB">
        <w:rPr>
          <w:szCs w:val="24"/>
        </w:rPr>
        <w:t>igure</w:t>
      </w:r>
      <w:r w:rsidRPr="00753451">
        <w:rPr>
          <w:szCs w:val="24"/>
        </w:rPr>
        <w:t xml:space="preserve"> 1-</w:t>
      </w:r>
      <w:proofErr w:type="gramStart"/>
      <w:r w:rsidRPr="00753451">
        <w:rPr>
          <w:szCs w:val="24"/>
        </w:rPr>
        <w:t>6</w:t>
      </w:r>
      <w:r w:rsidR="00403FD8">
        <w:rPr>
          <w:szCs w:val="24"/>
        </w:rPr>
        <w:t xml:space="preserve"> </w:t>
      </w:r>
      <w:r w:rsidRPr="00753451">
        <w:rPr>
          <w:szCs w:val="24"/>
        </w:rPr>
        <w:t xml:space="preserve"> </w:t>
      </w:r>
      <w:r w:rsidR="005D60CF" w:rsidRPr="005D60CF">
        <w:rPr>
          <w:szCs w:val="24"/>
        </w:rPr>
        <w:t>U.S.</w:t>
      </w:r>
      <w:proofErr w:type="gramEnd"/>
      <w:r w:rsidR="005D60CF" w:rsidRPr="005D60CF">
        <w:rPr>
          <w:szCs w:val="24"/>
        </w:rPr>
        <w:t xml:space="preserve"> MNC Parent Share of U.S. </w:t>
      </w:r>
      <w:commentRangeStart w:id="3"/>
      <w:r w:rsidR="005D60CF" w:rsidRPr="005D60CF">
        <w:rPr>
          <w:szCs w:val="24"/>
        </w:rPr>
        <w:t>Activity</w:t>
      </w:r>
      <w:commentRangeEnd w:id="3"/>
      <w:r w:rsidR="007C3E39">
        <w:rPr>
          <w:rStyle w:val="CommentReference"/>
        </w:rPr>
        <w:commentReference w:id="3"/>
      </w:r>
    </w:p>
    <w:p w14:paraId="4D563EB5" w14:textId="272E2D4D" w:rsidR="005D60CF" w:rsidRDefault="005D60CF" w:rsidP="005D60CF">
      <w:pPr>
        <w:spacing w:line="480" w:lineRule="auto"/>
        <w:rPr>
          <w:szCs w:val="24"/>
        </w:rPr>
      </w:pPr>
      <w:r>
        <w:rPr>
          <w:noProof/>
        </w:rPr>
        <w:drawing>
          <wp:inline distT="0" distB="0" distL="0" distR="0" wp14:anchorId="318CA1C4" wp14:editId="31402429">
            <wp:extent cx="5924550" cy="3263900"/>
            <wp:effectExtent l="0" t="0" r="0" b="12700"/>
            <wp:docPr id="4" name="Chart 4">
              <a:extLst xmlns:a="http://schemas.openxmlformats.org/drawingml/2006/main">
                <a:ext uri="{FF2B5EF4-FFF2-40B4-BE49-F238E27FC236}">
                  <a16:creationId xmlns:a16="http://schemas.microsoft.com/office/drawing/2014/main" id="{00000000-0008-0000-05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EC0417D" w14:textId="164A3B6B" w:rsidR="006F645F" w:rsidRPr="00753451" w:rsidRDefault="00F212B3" w:rsidP="008416AD">
      <w:pPr>
        <w:spacing w:line="480" w:lineRule="auto"/>
        <w:ind w:firstLine="720"/>
        <w:rPr>
          <w:szCs w:val="24"/>
        </w:rPr>
      </w:pPr>
      <w:r w:rsidRPr="00753451">
        <w:rPr>
          <w:szCs w:val="24"/>
        </w:rPr>
        <w:t xml:space="preserve">Despite the </w:t>
      </w:r>
      <w:r w:rsidR="00EB74DF">
        <w:rPr>
          <w:szCs w:val="24"/>
        </w:rPr>
        <w:t xml:space="preserve">much-discussed forces of </w:t>
      </w:r>
      <w:r w:rsidRPr="00753451">
        <w:rPr>
          <w:szCs w:val="24"/>
        </w:rPr>
        <w:t>globalization</w:t>
      </w:r>
      <w:r w:rsidR="00EB74DF">
        <w:rPr>
          <w:szCs w:val="24"/>
        </w:rPr>
        <w:t xml:space="preserve">, </w:t>
      </w:r>
      <w:r w:rsidR="00B53F85">
        <w:rPr>
          <w:szCs w:val="24"/>
        </w:rPr>
        <w:t xml:space="preserve">the U.S. operations of </w:t>
      </w:r>
      <w:r w:rsidR="00B45BB8" w:rsidRPr="00753451">
        <w:rPr>
          <w:szCs w:val="24"/>
        </w:rPr>
        <w:t>U.S. m</w:t>
      </w:r>
      <w:r w:rsidR="006F645F" w:rsidRPr="00753451">
        <w:rPr>
          <w:szCs w:val="24"/>
        </w:rPr>
        <w:t>ultinational parent firms have grown at roughly the same pace as the rest of the U.S. economy</w:t>
      </w:r>
      <w:r w:rsidR="000952E4" w:rsidRPr="00753451">
        <w:rPr>
          <w:szCs w:val="24"/>
        </w:rPr>
        <w:t>,</w:t>
      </w:r>
      <w:r w:rsidR="00B53F85">
        <w:rPr>
          <w:szCs w:val="24"/>
        </w:rPr>
        <w:t xml:space="preserve"> as</w:t>
      </w:r>
      <w:r w:rsidR="000952E4" w:rsidRPr="00753451">
        <w:rPr>
          <w:szCs w:val="24"/>
        </w:rPr>
        <w:t xml:space="preserve"> measured by their shares of total U.S. private sector employment and capital expenditures. </w:t>
      </w:r>
      <w:r w:rsidR="00B53F85">
        <w:rPr>
          <w:szCs w:val="24"/>
        </w:rPr>
        <w:t xml:space="preserve">U.S.-headquartered </w:t>
      </w:r>
      <w:proofErr w:type="spellStart"/>
      <w:r w:rsidR="00B53F85">
        <w:rPr>
          <w:szCs w:val="24"/>
        </w:rPr>
        <w:t>multinaionals</w:t>
      </w:r>
      <w:proofErr w:type="spellEnd"/>
      <w:r w:rsidR="00B53F85">
        <w:rPr>
          <w:szCs w:val="24"/>
        </w:rPr>
        <w:t xml:space="preserve"> have not come to dominate the U.S. economy, nor have they abandoned it.</w:t>
      </w:r>
      <w:r w:rsidR="00B81D64" w:rsidRPr="00753451">
        <w:rPr>
          <w:szCs w:val="24"/>
        </w:rPr>
        <w:t xml:space="preserve"> </w:t>
      </w:r>
      <w:r w:rsidR="006F645F" w:rsidRPr="00753451">
        <w:rPr>
          <w:szCs w:val="24"/>
        </w:rPr>
        <w:t xml:space="preserve">U.S. multinational parent companies employed 24 percent of the U.S. private sector workforce in 1982 and 22 percent in 2017. </w:t>
      </w:r>
      <w:r w:rsidR="000E6686">
        <w:rPr>
          <w:szCs w:val="24"/>
        </w:rPr>
        <w:t>(</w:t>
      </w:r>
      <w:r w:rsidR="006F645F" w:rsidRPr="00753451">
        <w:rPr>
          <w:szCs w:val="24"/>
        </w:rPr>
        <w:t xml:space="preserve">In between, the fraction of U.S. workers </w:t>
      </w:r>
      <w:r w:rsidR="00EB74DF">
        <w:rPr>
          <w:szCs w:val="24"/>
        </w:rPr>
        <w:t>they e</w:t>
      </w:r>
      <w:r w:rsidR="006F645F" w:rsidRPr="00753451">
        <w:rPr>
          <w:szCs w:val="24"/>
        </w:rPr>
        <w:t>mployed fluctuated, declining during the economic expansions of the 1990s and 2000s</w:t>
      </w:r>
      <w:r w:rsidR="00B45BB8" w:rsidRPr="00753451">
        <w:rPr>
          <w:szCs w:val="24"/>
        </w:rPr>
        <w:t xml:space="preserve"> </w:t>
      </w:r>
      <w:r w:rsidR="006F645F" w:rsidRPr="00753451">
        <w:rPr>
          <w:szCs w:val="24"/>
        </w:rPr>
        <w:t xml:space="preserve">as other </w:t>
      </w:r>
      <w:r w:rsidR="006F645F" w:rsidRPr="00753451">
        <w:rPr>
          <w:szCs w:val="24"/>
        </w:rPr>
        <w:lastRenderedPageBreak/>
        <w:t>firms expanded, and rising during the Great Recession as multinational firms proved to be more stable than other employers.</w:t>
      </w:r>
      <w:r w:rsidR="000E6686">
        <w:rPr>
          <w:szCs w:val="24"/>
        </w:rPr>
        <w:t xml:space="preserve">) </w:t>
      </w:r>
      <w:r w:rsidR="006F645F" w:rsidRPr="00753451">
        <w:rPr>
          <w:szCs w:val="24"/>
        </w:rPr>
        <w:t>The U.S. multinational parent company share of U.S. private capital expenditures fluctuated between 30 and 40 percent over the years 1982–2017</w:t>
      </w:r>
      <w:r w:rsidR="00C001AB">
        <w:rPr>
          <w:szCs w:val="24"/>
        </w:rPr>
        <w:t xml:space="preserve"> with no obvious trend.</w:t>
      </w:r>
    </w:p>
    <w:p w14:paraId="3C5361E0" w14:textId="4B6838E7" w:rsidR="00696370" w:rsidRPr="00696370" w:rsidRDefault="000952E4" w:rsidP="00696370">
      <w:pPr>
        <w:spacing w:line="480" w:lineRule="auto"/>
        <w:ind w:firstLine="720"/>
        <w:rPr>
          <w:szCs w:val="24"/>
        </w:rPr>
      </w:pPr>
      <w:r w:rsidRPr="00753451">
        <w:rPr>
          <w:szCs w:val="24"/>
        </w:rPr>
        <w:t>A GROWING SHARE OF U.S. MULTINATIONALS’ WORKERS ARE OVERSEAS</w:t>
      </w:r>
    </w:p>
    <w:p w14:paraId="41D3EC4A" w14:textId="191BEE13" w:rsidR="00693A83" w:rsidRPr="00753451" w:rsidRDefault="000952E4" w:rsidP="008829AA">
      <w:pPr>
        <w:spacing w:line="480" w:lineRule="auto"/>
        <w:ind w:firstLine="720"/>
        <w:rPr>
          <w:szCs w:val="24"/>
        </w:rPr>
      </w:pPr>
      <w:r w:rsidRPr="00753451">
        <w:rPr>
          <w:szCs w:val="24"/>
        </w:rPr>
        <w:t>Figure 1-</w:t>
      </w:r>
      <w:proofErr w:type="gramStart"/>
      <w:r w:rsidRPr="00753451">
        <w:rPr>
          <w:szCs w:val="24"/>
        </w:rPr>
        <w:t>7</w:t>
      </w:r>
      <w:r w:rsidR="006559F4">
        <w:rPr>
          <w:szCs w:val="24"/>
        </w:rPr>
        <w:t xml:space="preserve">  </w:t>
      </w:r>
      <w:r w:rsidR="00381906" w:rsidRPr="00381906">
        <w:rPr>
          <w:szCs w:val="24"/>
        </w:rPr>
        <w:t>Share</w:t>
      </w:r>
      <w:proofErr w:type="gramEnd"/>
      <w:r w:rsidR="00381906" w:rsidRPr="00381906">
        <w:rPr>
          <w:szCs w:val="24"/>
        </w:rPr>
        <w:t xml:space="preserve"> of U.S. Multinational Employment Accounted for by Foreign Affiliates</w:t>
      </w:r>
      <w:r w:rsidR="00381906">
        <w:rPr>
          <w:noProof/>
        </w:rPr>
        <w:drawing>
          <wp:inline distT="0" distB="0" distL="0" distR="0" wp14:anchorId="0A76E6BD" wp14:editId="0CEB11CC">
            <wp:extent cx="5924550" cy="3067050"/>
            <wp:effectExtent l="0" t="0" r="0" b="0"/>
            <wp:docPr id="5" name="Chart 5">
              <a:extLst xmlns:a="http://schemas.openxmlformats.org/drawingml/2006/main">
                <a:ext uri="{FF2B5EF4-FFF2-40B4-BE49-F238E27FC236}">
                  <a16:creationId xmlns:a16="http://schemas.microsoft.com/office/drawing/2014/main" id="{00000000-0008-0000-06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7631E72" w14:textId="6B0C19D2" w:rsidR="00696370" w:rsidRDefault="00696370" w:rsidP="008416AD">
      <w:pPr>
        <w:spacing w:line="480" w:lineRule="auto"/>
        <w:ind w:firstLine="720"/>
        <w:rPr>
          <w:szCs w:val="24"/>
        </w:rPr>
      </w:pPr>
      <w:r>
        <w:rPr>
          <w:szCs w:val="24"/>
        </w:rPr>
        <w:t xml:space="preserve">Both the U.S. and foreign workforces of U.S-based multinational corporations have grown in the past three decades, but their foreign workforces have grown much faster – and </w:t>
      </w:r>
      <w:r w:rsidR="00595E88">
        <w:rPr>
          <w:szCs w:val="24"/>
        </w:rPr>
        <w:t>represented 34 percent of the total workforces in 2017, up from 21 percent in 1982.</w:t>
      </w:r>
      <w:r w:rsidR="00B53F85">
        <w:rPr>
          <w:szCs w:val="24"/>
        </w:rPr>
        <w:t xml:space="preserve">  One question that this immediately raises is the extent to which this expansion of foreign employment may have come at the cost of jobs in the United States.</w:t>
      </w:r>
    </w:p>
    <w:p w14:paraId="35209110" w14:textId="77777777" w:rsidR="00696370" w:rsidRPr="00753451" w:rsidRDefault="00696370" w:rsidP="008416AD">
      <w:pPr>
        <w:spacing w:line="480" w:lineRule="auto"/>
        <w:ind w:firstLine="720"/>
        <w:rPr>
          <w:szCs w:val="24"/>
        </w:rPr>
      </w:pPr>
    </w:p>
    <w:p w14:paraId="76C59C6E" w14:textId="30540BA0" w:rsidR="006F645F" w:rsidRPr="00753451" w:rsidRDefault="000952E4" w:rsidP="008416AD">
      <w:pPr>
        <w:spacing w:line="480" w:lineRule="auto"/>
        <w:ind w:firstLine="720"/>
        <w:rPr>
          <w:szCs w:val="24"/>
        </w:rPr>
      </w:pPr>
      <w:r w:rsidRPr="00753451">
        <w:rPr>
          <w:szCs w:val="24"/>
        </w:rPr>
        <w:t>MULTINATIONALS THAT EXPAND OVERSEAS TEND TO EXPAND AT HOME</w:t>
      </w:r>
    </w:p>
    <w:p w14:paraId="4E1C4BE2" w14:textId="02AAD295" w:rsidR="00693B8B" w:rsidRDefault="00130D5C" w:rsidP="00BF0680">
      <w:pPr>
        <w:jc w:val="center"/>
        <w:rPr>
          <w:color w:val="000000"/>
          <w:szCs w:val="24"/>
        </w:rPr>
      </w:pPr>
      <w:r>
        <w:rPr>
          <w:szCs w:val="24"/>
        </w:rPr>
        <w:t>F</w:t>
      </w:r>
      <w:r w:rsidR="008B5E54">
        <w:rPr>
          <w:szCs w:val="24"/>
        </w:rPr>
        <w:t>igure</w:t>
      </w:r>
      <w:r w:rsidR="000952E4" w:rsidRPr="00753451">
        <w:rPr>
          <w:szCs w:val="24"/>
        </w:rPr>
        <w:t xml:space="preserve"> 1-</w:t>
      </w:r>
      <w:proofErr w:type="gramStart"/>
      <w:r w:rsidR="000952E4" w:rsidRPr="00753451">
        <w:rPr>
          <w:szCs w:val="24"/>
        </w:rPr>
        <w:t>10</w:t>
      </w:r>
      <w:r>
        <w:rPr>
          <w:szCs w:val="24"/>
        </w:rPr>
        <w:t xml:space="preserve">  </w:t>
      </w:r>
      <w:r w:rsidR="003F51A3" w:rsidRPr="003F51A3">
        <w:rPr>
          <w:color w:val="000000"/>
          <w:szCs w:val="24"/>
        </w:rPr>
        <w:t>Changes</w:t>
      </w:r>
      <w:proofErr w:type="gramEnd"/>
      <w:r w:rsidR="003F51A3" w:rsidRPr="003F51A3">
        <w:rPr>
          <w:color w:val="000000"/>
          <w:szCs w:val="24"/>
        </w:rPr>
        <w:t xml:space="preserve"> in the Domestic and Foreign Employment of U.S. Multinationals</w:t>
      </w:r>
    </w:p>
    <w:p w14:paraId="02C4DA44" w14:textId="5DE8FC1A" w:rsidR="000952E4" w:rsidRDefault="003F51A3" w:rsidP="00BF0680">
      <w:pPr>
        <w:jc w:val="center"/>
        <w:rPr>
          <w:color w:val="000000"/>
          <w:szCs w:val="24"/>
        </w:rPr>
      </w:pPr>
      <w:r w:rsidRPr="003F51A3">
        <w:rPr>
          <w:color w:val="000000"/>
          <w:szCs w:val="24"/>
        </w:rPr>
        <w:t>2004-2014</w:t>
      </w:r>
    </w:p>
    <w:p w14:paraId="04EB46E6" w14:textId="77777777" w:rsidR="00BF0680" w:rsidRPr="00753451" w:rsidRDefault="00BF0680" w:rsidP="00BF0680">
      <w:pPr>
        <w:jc w:val="center"/>
        <w:rPr>
          <w:szCs w:val="24"/>
        </w:rPr>
      </w:pPr>
    </w:p>
    <w:tbl>
      <w:tblPr>
        <w:tblW w:w="9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3"/>
        <w:gridCol w:w="3117"/>
        <w:gridCol w:w="3118"/>
      </w:tblGrid>
      <w:tr w:rsidR="00BF0680" w:rsidRPr="00BF0680" w14:paraId="61563902" w14:textId="77777777" w:rsidTr="00693B8B">
        <w:trPr>
          <w:trHeight w:val="316"/>
        </w:trPr>
        <w:tc>
          <w:tcPr>
            <w:tcW w:w="3063" w:type="dxa"/>
            <w:shd w:val="clear" w:color="auto" w:fill="auto"/>
            <w:noWrap/>
            <w:vAlign w:val="center"/>
            <w:hideMark/>
          </w:tcPr>
          <w:p w14:paraId="239DAD35" w14:textId="77777777" w:rsidR="00BF0680" w:rsidRPr="00BF0680" w:rsidRDefault="00BF0680" w:rsidP="00BF0680">
            <w:pPr>
              <w:rPr>
                <w:sz w:val="20"/>
                <w:szCs w:val="24"/>
              </w:rPr>
            </w:pPr>
          </w:p>
        </w:tc>
        <w:tc>
          <w:tcPr>
            <w:tcW w:w="3117" w:type="dxa"/>
            <w:shd w:val="clear" w:color="auto" w:fill="auto"/>
            <w:noWrap/>
            <w:vAlign w:val="center"/>
            <w:hideMark/>
          </w:tcPr>
          <w:p w14:paraId="730A7E40" w14:textId="77777777" w:rsidR="00BF0680" w:rsidRPr="00BF0680" w:rsidRDefault="00BF0680" w:rsidP="00BF0680">
            <w:pPr>
              <w:jc w:val="center"/>
              <w:rPr>
                <w:color w:val="000000"/>
                <w:szCs w:val="24"/>
              </w:rPr>
            </w:pPr>
            <w:r w:rsidRPr="00BF0680">
              <w:rPr>
                <w:color w:val="000000"/>
                <w:szCs w:val="24"/>
              </w:rPr>
              <w:t>Decrease in foreign employment</w:t>
            </w:r>
          </w:p>
        </w:tc>
        <w:tc>
          <w:tcPr>
            <w:tcW w:w="3118" w:type="dxa"/>
            <w:shd w:val="clear" w:color="auto" w:fill="auto"/>
            <w:noWrap/>
            <w:vAlign w:val="center"/>
            <w:hideMark/>
          </w:tcPr>
          <w:p w14:paraId="749A5FB3" w14:textId="77777777" w:rsidR="00BF0680" w:rsidRPr="00BF0680" w:rsidRDefault="00BF0680" w:rsidP="00BF0680">
            <w:pPr>
              <w:jc w:val="center"/>
              <w:rPr>
                <w:color w:val="000000"/>
                <w:szCs w:val="24"/>
              </w:rPr>
            </w:pPr>
            <w:r w:rsidRPr="00BF0680">
              <w:rPr>
                <w:color w:val="000000"/>
                <w:szCs w:val="24"/>
              </w:rPr>
              <w:t>Increase in foreign employment</w:t>
            </w:r>
          </w:p>
        </w:tc>
      </w:tr>
      <w:tr w:rsidR="00BF0680" w:rsidRPr="00BF0680" w14:paraId="2BA6A83D" w14:textId="77777777" w:rsidTr="00693B8B">
        <w:trPr>
          <w:trHeight w:val="486"/>
        </w:trPr>
        <w:tc>
          <w:tcPr>
            <w:tcW w:w="3063" w:type="dxa"/>
            <w:shd w:val="clear" w:color="auto" w:fill="auto"/>
            <w:noWrap/>
            <w:vAlign w:val="center"/>
            <w:hideMark/>
          </w:tcPr>
          <w:p w14:paraId="43D5D99E" w14:textId="77777777" w:rsidR="00BF0680" w:rsidRPr="00BF0680" w:rsidRDefault="00BF0680" w:rsidP="00BF0680">
            <w:pPr>
              <w:jc w:val="center"/>
              <w:rPr>
                <w:color w:val="000000"/>
                <w:szCs w:val="24"/>
              </w:rPr>
            </w:pPr>
            <w:r w:rsidRPr="00BF0680">
              <w:rPr>
                <w:color w:val="000000"/>
                <w:szCs w:val="24"/>
              </w:rPr>
              <w:t>Increase in U.S. employment</w:t>
            </w:r>
          </w:p>
        </w:tc>
        <w:tc>
          <w:tcPr>
            <w:tcW w:w="3117" w:type="dxa"/>
            <w:shd w:val="clear" w:color="auto" w:fill="auto"/>
            <w:noWrap/>
            <w:vAlign w:val="center"/>
            <w:hideMark/>
          </w:tcPr>
          <w:p w14:paraId="7E0A5EB5" w14:textId="77777777" w:rsidR="00BF0680" w:rsidRPr="00BF0680" w:rsidRDefault="00BF0680" w:rsidP="00BF0680">
            <w:pPr>
              <w:jc w:val="center"/>
              <w:rPr>
                <w:color w:val="000000"/>
                <w:szCs w:val="24"/>
              </w:rPr>
            </w:pPr>
            <w:r w:rsidRPr="00BF0680">
              <w:rPr>
                <w:color w:val="000000"/>
                <w:szCs w:val="24"/>
              </w:rPr>
              <w:t>293</w:t>
            </w:r>
          </w:p>
        </w:tc>
        <w:tc>
          <w:tcPr>
            <w:tcW w:w="3118" w:type="dxa"/>
            <w:shd w:val="clear" w:color="auto" w:fill="auto"/>
            <w:noWrap/>
            <w:vAlign w:val="center"/>
            <w:hideMark/>
          </w:tcPr>
          <w:p w14:paraId="6EE03D90" w14:textId="77777777" w:rsidR="00BF0680" w:rsidRPr="00BF0680" w:rsidRDefault="00BF0680" w:rsidP="00BF0680">
            <w:pPr>
              <w:jc w:val="center"/>
              <w:rPr>
                <w:color w:val="000000"/>
                <w:szCs w:val="24"/>
              </w:rPr>
            </w:pPr>
            <w:r w:rsidRPr="00BF0680">
              <w:rPr>
                <w:color w:val="000000"/>
                <w:szCs w:val="24"/>
              </w:rPr>
              <w:t>704</w:t>
            </w:r>
          </w:p>
        </w:tc>
      </w:tr>
      <w:tr w:rsidR="00BF0680" w:rsidRPr="00BF0680" w14:paraId="551286DF" w14:textId="77777777" w:rsidTr="00693B8B">
        <w:trPr>
          <w:trHeight w:val="486"/>
        </w:trPr>
        <w:tc>
          <w:tcPr>
            <w:tcW w:w="3063" w:type="dxa"/>
            <w:shd w:val="clear" w:color="auto" w:fill="auto"/>
            <w:noWrap/>
            <w:vAlign w:val="center"/>
            <w:hideMark/>
          </w:tcPr>
          <w:p w14:paraId="3390E76E" w14:textId="77777777" w:rsidR="00BF0680" w:rsidRPr="00BF0680" w:rsidRDefault="00BF0680" w:rsidP="00BF0680">
            <w:pPr>
              <w:jc w:val="center"/>
              <w:rPr>
                <w:color w:val="000000"/>
                <w:szCs w:val="24"/>
              </w:rPr>
            </w:pPr>
            <w:r w:rsidRPr="00BF0680">
              <w:rPr>
                <w:color w:val="000000"/>
                <w:szCs w:val="24"/>
              </w:rPr>
              <w:t>Decrease in U.S. employment</w:t>
            </w:r>
          </w:p>
        </w:tc>
        <w:tc>
          <w:tcPr>
            <w:tcW w:w="3117" w:type="dxa"/>
            <w:shd w:val="clear" w:color="auto" w:fill="auto"/>
            <w:noWrap/>
            <w:vAlign w:val="center"/>
            <w:hideMark/>
          </w:tcPr>
          <w:p w14:paraId="590B3470" w14:textId="77777777" w:rsidR="00BF0680" w:rsidRPr="00BF0680" w:rsidRDefault="00BF0680" w:rsidP="00BF0680">
            <w:pPr>
              <w:jc w:val="center"/>
              <w:rPr>
                <w:color w:val="000000"/>
                <w:szCs w:val="24"/>
              </w:rPr>
            </w:pPr>
            <w:r w:rsidRPr="00BF0680">
              <w:rPr>
                <w:color w:val="000000"/>
                <w:szCs w:val="24"/>
              </w:rPr>
              <w:t>336</w:t>
            </w:r>
          </w:p>
        </w:tc>
        <w:tc>
          <w:tcPr>
            <w:tcW w:w="3118" w:type="dxa"/>
            <w:shd w:val="clear" w:color="auto" w:fill="auto"/>
            <w:noWrap/>
            <w:vAlign w:val="center"/>
            <w:hideMark/>
          </w:tcPr>
          <w:p w14:paraId="1DE77F7C" w14:textId="77777777" w:rsidR="00BF0680" w:rsidRPr="00BF0680" w:rsidRDefault="00BF0680" w:rsidP="00BF0680">
            <w:pPr>
              <w:jc w:val="center"/>
              <w:rPr>
                <w:color w:val="000000"/>
                <w:szCs w:val="24"/>
              </w:rPr>
            </w:pPr>
            <w:r w:rsidRPr="00BF0680">
              <w:rPr>
                <w:color w:val="000000"/>
                <w:szCs w:val="24"/>
              </w:rPr>
              <w:t>354</w:t>
            </w:r>
          </w:p>
        </w:tc>
      </w:tr>
      <w:tr w:rsidR="00BF0680" w:rsidRPr="00BF0680" w14:paraId="133060B6" w14:textId="77777777" w:rsidTr="00693B8B">
        <w:trPr>
          <w:trHeight w:val="276"/>
        </w:trPr>
        <w:tc>
          <w:tcPr>
            <w:tcW w:w="9298" w:type="dxa"/>
            <w:gridSpan w:val="3"/>
            <w:vMerge w:val="restart"/>
            <w:shd w:val="clear" w:color="auto" w:fill="auto"/>
            <w:vAlign w:val="center"/>
            <w:hideMark/>
          </w:tcPr>
          <w:p w14:paraId="7B414CE8" w14:textId="77777777" w:rsidR="00BF0680" w:rsidRPr="00BF0680" w:rsidRDefault="00BF0680" w:rsidP="00693B8B">
            <w:pPr>
              <w:rPr>
                <w:color w:val="000000"/>
                <w:sz w:val="22"/>
                <w:szCs w:val="22"/>
              </w:rPr>
            </w:pPr>
            <w:r w:rsidRPr="00BF0680">
              <w:rPr>
                <w:color w:val="000000"/>
                <w:sz w:val="22"/>
                <w:szCs w:val="22"/>
              </w:rPr>
              <w:t>This figure presents number counts of firms that experiences different changes in U.S. and foreign affiliate employment over the 2004-2014 period.  These counts were produced using BEA data.</w:t>
            </w:r>
          </w:p>
        </w:tc>
      </w:tr>
      <w:tr w:rsidR="00BF0680" w:rsidRPr="00BF0680" w14:paraId="5168D7A5" w14:textId="77777777" w:rsidTr="00693B8B">
        <w:trPr>
          <w:trHeight w:val="276"/>
        </w:trPr>
        <w:tc>
          <w:tcPr>
            <w:tcW w:w="9298" w:type="dxa"/>
            <w:gridSpan w:val="3"/>
            <w:vMerge/>
            <w:vAlign w:val="center"/>
            <w:hideMark/>
          </w:tcPr>
          <w:p w14:paraId="41FAE67B" w14:textId="77777777" w:rsidR="00BF0680" w:rsidRPr="00BF0680" w:rsidRDefault="00BF0680" w:rsidP="00BF0680">
            <w:pPr>
              <w:rPr>
                <w:color w:val="000000"/>
                <w:sz w:val="22"/>
                <w:szCs w:val="22"/>
              </w:rPr>
            </w:pPr>
          </w:p>
        </w:tc>
      </w:tr>
      <w:tr w:rsidR="00BF0680" w:rsidRPr="00BF0680" w14:paraId="49A01E72" w14:textId="77777777" w:rsidTr="00693B8B">
        <w:trPr>
          <w:trHeight w:val="276"/>
        </w:trPr>
        <w:tc>
          <w:tcPr>
            <w:tcW w:w="9298" w:type="dxa"/>
            <w:gridSpan w:val="3"/>
            <w:vMerge/>
            <w:vAlign w:val="center"/>
            <w:hideMark/>
          </w:tcPr>
          <w:p w14:paraId="3E25C269" w14:textId="77777777" w:rsidR="00BF0680" w:rsidRPr="00BF0680" w:rsidRDefault="00BF0680" w:rsidP="00BF0680">
            <w:pPr>
              <w:rPr>
                <w:color w:val="000000"/>
                <w:sz w:val="22"/>
                <w:szCs w:val="22"/>
              </w:rPr>
            </w:pPr>
          </w:p>
        </w:tc>
      </w:tr>
    </w:tbl>
    <w:p w14:paraId="0674BE23" w14:textId="77777777" w:rsidR="00130D5C" w:rsidRDefault="00130D5C" w:rsidP="008416AD">
      <w:pPr>
        <w:spacing w:line="480" w:lineRule="auto"/>
        <w:ind w:firstLine="720"/>
        <w:rPr>
          <w:szCs w:val="24"/>
        </w:rPr>
      </w:pPr>
    </w:p>
    <w:p w14:paraId="37FEF5BC" w14:textId="7C8D45F2" w:rsidR="00D46343" w:rsidRDefault="006F645F" w:rsidP="00D46343">
      <w:pPr>
        <w:spacing w:line="480" w:lineRule="auto"/>
        <w:ind w:firstLine="720"/>
        <w:rPr>
          <w:szCs w:val="24"/>
        </w:rPr>
      </w:pPr>
      <w:r w:rsidRPr="00753451">
        <w:rPr>
          <w:szCs w:val="24"/>
        </w:rPr>
        <w:t xml:space="preserve">Between 1982 and 2017, U.S. </w:t>
      </w:r>
      <w:r w:rsidR="0018442A">
        <w:rPr>
          <w:szCs w:val="24"/>
        </w:rPr>
        <w:t>MNC</w:t>
      </w:r>
      <w:r w:rsidRPr="00753451">
        <w:rPr>
          <w:szCs w:val="24"/>
        </w:rPr>
        <w:t>s added almost exactly the same number of workers (9.4 million) to their payrolls in the United States as they added abroad</w:t>
      </w:r>
      <w:r w:rsidR="00C001AB">
        <w:rPr>
          <w:szCs w:val="24"/>
        </w:rPr>
        <w:t>. W</w:t>
      </w:r>
      <w:r w:rsidRPr="00753451">
        <w:rPr>
          <w:szCs w:val="24"/>
        </w:rPr>
        <w:t xml:space="preserve">hile this does not </w:t>
      </w:r>
      <w:r w:rsidR="00FF5245">
        <w:rPr>
          <w:szCs w:val="24"/>
        </w:rPr>
        <w:t xml:space="preserve">reveal what would have happened to U.S. employment had they not expanded overseas, it does suggest </w:t>
      </w:r>
      <w:r w:rsidRPr="00753451">
        <w:rPr>
          <w:szCs w:val="24"/>
        </w:rPr>
        <w:t>that foreign expansion did not entirely supplant U.S. job creation.</w:t>
      </w:r>
      <w:r w:rsidR="000952E4" w:rsidRPr="00753451">
        <w:rPr>
          <w:szCs w:val="24"/>
        </w:rPr>
        <w:t xml:space="preserve">  Between </w:t>
      </w:r>
      <w:r w:rsidRPr="00753451">
        <w:rPr>
          <w:szCs w:val="24"/>
        </w:rPr>
        <w:t xml:space="preserve">2004 and 2014, 1,058 U.S. multinational firms </w:t>
      </w:r>
      <w:r w:rsidR="00FF5245">
        <w:rPr>
          <w:szCs w:val="24"/>
        </w:rPr>
        <w:t xml:space="preserve">for which the Bureau of Economic Analysis has data </w:t>
      </w:r>
      <w:r w:rsidRPr="00753451">
        <w:rPr>
          <w:szCs w:val="24"/>
        </w:rPr>
        <w:t xml:space="preserve">expanded their foreign workforces; of these, roughly two-thirds (704) contemporaneously expanded their U.S. employment. Over the same time period, 629 U.S. multinational firms reduced their foreign </w:t>
      </w:r>
      <w:proofErr w:type="gramStart"/>
      <w:r w:rsidRPr="00753451">
        <w:rPr>
          <w:szCs w:val="24"/>
        </w:rPr>
        <w:t>workforces</w:t>
      </w:r>
      <w:r w:rsidR="00FF5245">
        <w:rPr>
          <w:szCs w:val="24"/>
        </w:rPr>
        <w:t xml:space="preserve">;  </w:t>
      </w:r>
      <w:r w:rsidRPr="00753451">
        <w:rPr>
          <w:szCs w:val="24"/>
        </w:rPr>
        <w:t>of</w:t>
      </w:r>
      <w:proofErr w:type="gramEnd"/>
      <w:r w:rsidRPr="00753451">
        <w:rPr>
          <w:szCs w:val="24"/>
        </w:rPr>
        <w:t xml:space="preserve"> these, about half (336) also reduced employment in the United States. </w:t>
      </w:r>
      <w:r w:rsidR="005E3466">
        <w:rPr>
          <w:szCs w:val="24"/>
        </w:rPr>
        <w:t xml:space="preserve">Greater </w:t>
      </w:r>
      <w:r w:rsidR="00D4685D">
        <w:rPr>
          <w:szCs w:val="24"/>
        </w:rPr>
        <w:t>foreign employment need not be accompanied by reduced U.S. employment in the same firms</w:t>
      </w:r>
      <w:r w:rsidR="005E3466">
        <w:rPr>
          <w:szCs w:val="24"/>
        </w:rPr>
        <w:t xml:space="preserve">; indeed, </w:t>
      </w:r>
      <w:r w:rsidR="00D4685D">
        <w:rPr>
          <w:szCs w:val="24"/>
        </w:rPr>
        <w:t xml:space="preserve">foreign expansions </w:t>
      </w:r>
      <w:r w:rsidR="005E3466">
        <w:rPr>
          <w:szCs w:val="24"/>
        </w:rPr>
        <w:t xml:space="preserve">usually </w:t>
      </w:r>
      <w:r w:rsidR="00D4685D">
        <w:rPr>
          <w:szCs w:val="24"/>
        </w:rPr>
        <w:t>are accompanied by domestic expansions. B</w:t>
      </w:r>
      <w:r w:rsidR="005E3466">
        <w:rPr>
          <w:szCs w:val="24"/>
        </w:rPr>
        <w:t xml:space="preserve">ut this pattern doesn’t not establish that foreign operations of U.S. MNCs contribute to the total demand for U.S. labor, and </w:t>
      </w:r>
      <w:r w:rsidR="00E26C89">
        <w:rPr>
          <w:szCs w:val="24"/>
        </w:rPr>
        <w:t xml:space="preserve">the aggregates mask </w:t>
      </w:r>
      <w:r w:rsidRPr="00753451">
        <w:rPr>
          <w:szCs w:val="24"/>
        </w:rPr>
        <w:t xml:space="preserve">considerable heterogeneity </w:t>
      </w:r>
      <w:r w:rsidR="00912FC6" w:rsidRPr="00753451">
        <w:rPr>
          <w:szCs w:val="24"/>
        </w:rPr>
        <w:t>among firms an</w:t>
      </w:r>
      <w:r w:rsidRPr="00753451">
        <w:rPr>
          <w:szCs w:val="24"/>
        </w:rPr>
        <w:t>d labor markets</w:t>
      </w:r>
      <w:r w:rsidR="00D4685D">
        <w:rPr>
          <w:szCs w:val="24"/>
        </w:rPr>
        <w:t>.  There is evidence that offshoring by MNCs creates</w:t>
      </w:r>
      <w:r w:rsidR="007D42AF" w:rsidRPr="00753451">
        <w:rPr>
          <w:szCs w:val="24"/>
        </w:rPr>
        <w:t xml:space="preserve"> </w:t>
      </w:r>
      <w:r w:rsidRPr="00753451">
        <w:rPr>
          <w:szCs w:val="24"/>
        </w:rPr>
        <w:t xml:space="preserve">significant hardships </w:t>
      </w:r>
      <w:r w:rsidR="007D42AF" w:rsidRPr="00753451">
        <w:rPr>
          <w:szCs w:val="24"/>
        </w:rPr>
        <w:t>for some workers in h</w:t>
      </w:r>
      <w:r w:rsidRPr="00753451">
        <w:rPr>
          <w:szCs w:val="24"/>
        </w:rPr>
        <w:t xml:space="preserve">igh-wage countries, with lower-skilled workers </w:t>
      </w:r>
      <w:r w:rsidR="0047604D">
        <w:rPr>
          <w:szCs w:val="24"/>
        </w:rPr>
        <w:t>and those who perfor</w:t>
      </w:r>
      <w:r w:rsidR="00FF5245">
        <w:rPr>
          <w:szCs w:val="24"/>
        </w:rPr>
        <w:t>m</w:t>
      </w:r>
      <w:r w:rsidR="0047604D">
        <w:rPr>
          <w:szCs w:val="24"/>
        </w:rPr>
        <w:t xml:space="preserve"> routine tasks </w:t>
      </w:r>
      <w:r w:rsidRPr="00753451">
        <w:rPr>
          <w:szCs w:val="24"/>
        </w:rPr>
        <w:t>most at risk.</w:t>
      </w:r>
    </w:p>
    <w:p w14:paraId="7FCDC373" w14:textId="77777777" w:rsidR="00DA35CD" w:rsidRPr="00753451" w:rsidRDefault="00DA35CD" w:rsidP="00DA35CD">
      <w:pPr>
        <w:spacing w:line="480" w:lineRule="auto"/>
        <w:ind w:firstLine="720"/>
        <w:rPr>
          <w:szCs w:val="24"/>
        </w:rPr>
      </w:pPr>
    </w:p>
    <w:p w14:paraId="341E7C82" w14:textId="44C0DBFC" w:rsidR="00DA35CD" w:rsidRPr="00753451" w:rsidRDefault="00DA35CD" w:rsidP="00DA35CD">
      <w:pPr>
        <w:spacing w:line="480" w:lineRule="auto"/>
        <w:rPr>
          <w:iCs/>
          <w:szCs w:val="24"/>
        </w:rPr>
      </w:pPr>
      <w:r w:rsidRPr="00753451">
        <w:rPr>
          <w:iCs/>
          <w:szCs w:val="24"/>
        </w:rPr>
        <w:t xml:space="preserve">U.S MULTINATIONALS </w:t>
      </w:r>
      <w:r w:rsidR="0047604D">
        <w:rPr>
          <w:iCs/>
          <w:szCs w:val="24"/>
        </w:rPr>
        <w:t xml:space="preserve">STILL </w:t>
      </w:r>
      <w:r w:rsidRPr="00753451">
        <w:rPr>
          <w:iCs/>
          <w:szCs w:val="24"/>
        </w:rPr>
        <w:t>DO MOST BUSINESS R&amp;D SPENDING IN THE U.S.</w:t>
      </w:r>
    </w:p>
    <w:p w14:paraId="3688D783" w14:textId="77777777" w:rsidR="00D46343" w:rsidRDefault="00D46343" w:rsidP="005909C0">
      <w:pPr>
        <w:spacing w:line="480" w:lineRule="auto"/>
        <w:jc w:val="center"/>
        <w:rPr>
          <w:szCs w:val="24"/>
        </w:rPr>
      </w:pPr>
    </w:p>
    <w:p w14:paraId="2C67C8D2" w14:textId="56319D0F" w:rsidR="00DA35CD" w:rsidRPr="00753451" w:rsidRDefault="00DA35CD" w:rsidP="005909C0">
      <w:pPr>
        <w:spacing w:line="480" w:lineRule="auto"/>
        <w:jc w:val="center"/>
        <w:rPr>
          <w:szCs w:val="24"/>
        </w:rPr>
      </w:pPr>
      <w:r w:rsidRPr="00753451">
        <w:rPr>
          <w:szCs w:val="24"/>
        </w:rPr>
        <w:t>F</w:t>
      </w:r>
      <w:r w:rsidR="00D46343">
        <w:rPr>
          <w:szCs w:val="24"/>
        </w:rPr>
        <w:t>igure</w:t>
      </w:r>
      <w:r w:rsidRPr="00753451">
        <w:rPr>
          <w:szCs w:val="24"/>
        </w:rPr>
        <w:t xml:space="preserve"> 1-</w:t>
      </w:r>
      <w:proofErr w:type="gramStart"/>
      <w:r w:rsidRPr="00753451">
        <w:rPr>
          <w:szCs w:val="24"/>
        </w:rPr>
        <w:t>12</w:t>
      </w:r>
      <w:r w:rsidR="005909C0">
        <w:rPr>
          <w:szCs w:val="24"/>
        </w:rPr>
        <w:t xml:space="preserve">  </w:t>
      </w:r>
      <w:r w:rsidR="005909C0" w:rsidRPr="005909C0">
        <w:rPr>
          <w:szCs w:val="24"/>
        </w:rPr>
        <w:t>U.S.</w:t>
      </w:r>
      <w:proofErr w:type="gramEnd"/>
      <w:r w:rsidR="005909C0" w:rsidRPr="005909C0">
        <w:rPr>
          <w:szCs w:val="24"/>
        </w:rPr>
        <w:t xml:space="preserve"> Parent Share of U.S. Business R&amp;D</w:t>
      </w:r>
    </w:p>
    <w:p w14:paraId="75754E7D" w14:textId="1C1386DA" w:rsidR="006F645F" w:rsidRDefault="00471F16" w:rsidP="00D46343">
      <w:pPr>
        <w:spacing w:line="480" w:lineRule="auto"/>
        <w:rPr>
          <w:szCs w:val="24"/>
        </w:rPr>
      </w:pPr>
      <w:r>
        <w:rPr>
          <w:noProof/>
        </w:rPr>
        <w:drawing>
          <wp:inline distT="0" distB="0" distL="0" distR="0" wp14:anchorId="61FD3865" wp14:editId="35B55255">
            <wp:extent cx="5861050" cy="2279650"/>
            <wp:effectExtent l="0" t="0" r="6350" b="6350"/>
            <wp:docPr id="9" name="Chart 9">
              <a:extLst xmlns:a="http://schemas.openxmlformats.org/drawingml/2006/main">
                <a:ext uri="{FF2B5EF4-FFF2-40B4-BE49-F238E27FC236}">
                  <a16:creationId xmlns:a16="http://schemas.microsoft.com/office/drawing/2014/main" id="{00000000-0008-0000-0B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00BC7A0F">
        <w:rPr>
          <w:iCs/>
          <w:szCs w:val="24"/>
        </w:rPr>
        <w:tab/>
      </w:r>
      <w:r w:rsidR="006F645F" w:rsidRPr="00753451">
        <w:rPr>
          <w:szCs w:val="24"/>
        </w:rPr>
        <w:t>U.S.-based multinationals</w:t>
      </w:r>
      <w:r w:rsidR="00E70D17" w:rsidRPr="00753451">
        <w:rPr>
          <w:szCs w:val="24"/>
        </w:rPr>
        <w:t xml:space="preserve"> </w:t>
      </w:r>
      <w:r w:rsidR="00DA35CD" w:rsidRPr="00753451">
        <w:rPr>
          <w:szCs w:val="24"/>
        </w:rPr>
        <w:t>have</w:t>
      </w:r>
      <w:r w:rsidR="00E70D17" w:rsidRPr="00753451">
        <w:rPr>
          <w:szCs w:val="24"/>
        </w:rPr>
        <w:t xml:space="preserve"> accounted for about 70 percent of the </w:t>
      </w:r>
      <w:proofErr w:type="spellStart"/>
      <w:r w:rsidR="006F645F" w:rsidRPr="00753451">
        <w:rPr>
          <w:szCs w:val="24"/>
        </w:rPr>
        <w:t>the</w:t>
      </w:r>
      <w:proofErr w:type="spellEnd"/>
      <w:r w:rsidR="006F645F" w:rsidRPr="00753451">
        <w:rPr>
          <w:szCs w:val="24"/>
        </w:rPr>
        <w:t xml:space="preserve"> total</w:t>
      </w:r>
      <w:r w:rsidR="00BC7A0F">
        <w:rPr>
          <w:szCs w:val="24"/>
        </w:rPr>
        <w:t xml:space="preserve"> R&amp;D p</w:t>
      </w:r>
      <w:r w:rsidR="006F645F" w:rsidRPr="00753451">
        <w:rPr>
          <w:szCs w:val="24"/>
        </w:rPr>
        <w:t>erformed by all U.S. businesses</w:t>
      </w:r>
      <w:r w:rsidR="00E70D17" w:rsidRPr="00753451">
        <w:rPr>
          <w:szCs w:val="24"/>
        </w:rPr>
        <w:t xml:space="preserve"> for the past three decades. </w:t>
      </w:r>
      <w:r w:rsidR="00D4685D">
        <w:rPr>
          <w:szCs w:val="24"/>
        </w:rPr>
        <w:t>Over the same time span</w:t>
      </w:r>
      <w:r w:rsidR="00DA35CD" w:rsidRPr="00753451">
        <w:rPr>
          <w:szCs w:val="24"/>
        </w:rPr>
        <w:t xml:space="preserve">, the share of </w:t>
      </w:r>
      <w:r w:rsidR="00D4685D">
        <w:rPr>
          <w:szCs w:val="24"/>
        </w:rPr>
        <w:t xml:space="preserve">their </w:t>
      </w:r>
      <w:r w:rsidR="00DA35CD" w:rsidRPr="00753451">
        <w:rPr>
          <w:szCs w:val="24"/>
        </w:rPr>
        <w:t>total R&amp;D spending done by these</w:t>
      </w:r>
      <w:r w:rsidR="006F645F" w:rsidRPr="00753451">
        <w:rPr>
          <w:szCs w:val="24"/>
        </w:rPr>
        <w:t xml:space="preserve"> U.S.-based firms</w:t>
      </w:r>
      <w:r w:rsidR="00DA35CD" w:rsidRPr="00753451">
        <w:rPr>
          <w:szCs w:val="24"/>
        </w:rPr>
        <w:t xml:space="preserve"> </w:t>
      </w:r>
      <w:r w:rsidR="00DA35CD" w:rsidRPr="00BC7A0F">
        <w:rPr>
          <w:i/>
          <w:iCs/>
          <w:szCs w:val="24"/>
        </w:rPr>
        <w:t>outside</w:t>
      </w:r>
      <w:r w:rsidR="00DA35CD" w:rsidRPr="00753451">
        <w:rPr>
          <w:szCs w:val="24"/>
        </w:rPr>
        <w:t xml:space="preserve"> the U.S. grew from </w:t>
      </w:r>
      <w:r w:rsidR="006F645F" w:rsidRPr="00753451">
        <w:rPr>
          <w:szCs w:val="24"/>
        </w:rPr>
        <w:t>9 percent to 16 percent by 2017. This is not the product of any decline in total research expenditures by U.S. parent companies</w:t>
      </w:r>
      <w:r w:rsidR="00D4685D">
        <w:rPr>
          <w:szCs w:val="24"/>
        </w:rPr>
        <w:t>: a</w:t>
      </w:r>
      <w:r w:rsidR="006F645F" w:rsidRPr="00753451">
        <w:rPr>
          <w:szCs w:val="24"/>
        </w:rPr>
        <w:t>ggregate R&amp;D spending</w:t>
      </w:r>
      <w:r w:rsidR="00DA35CD" w:rsidRPr="00753451">
        <w:rPr>
          <w:szCs w:val="24"/>
        </w:rPr>
        <w:t xml:space="preserve"> </w:t>
      </w:r>
      <w:r w:rsidR="00BC7A0F">
        <w:rPr>
          <w:szCs w:val="24"/>
        </w:rPr>
        <w:t xml:space="preserve">by MNCs </w:t>
      </w:r>
      <w:r w:rsidR="00DA35CD" w:rsidRPr="00753451">
        <w:rPr>
          <w:szCs w:val="24"/>
        </w:rPr>
        <w:t>in the U.S.</w:t>
      </w:r>
      <w:r w:rsidR="006F645F" w:rsidRPr="00753451">
        <w:rPr>
          <w:szCs w:val="24"/>
        </w:rPr>
        <w:t xml:space="preserve"> increased at a compound nominal annual growth rate of 4.8 percent, while R&amp;D spending by their foreign affiliates grew at a faster rate of 7.8 percent. </w:t>
      </w:r>
      <w:r w:rsidR="00584C63">
        <w:rPr>
          <w:szCs w:val="24"/>
        </w:rPr>
        <w:t>Almost all of this growth of foreign R&amp;D activity occurred in relatively novel locations, including China, India, and Israel.</w:t>
      </w:r>
    </w:p>
    <w:p w14:paraId="0466749A" w14:textId="6993EDD1" w:rsidR="004F2A6D" w:rsidRDefault="004F2A6D" w:rsidP="00D46343">
      <w:pPr>
        <w:spacing w:line="480" w:lineRule="auto"/>
        <w:rPr>
          <w:szCs w:val="24"/>
        </w:rPr>
      </w:pPr>
    </w:p>
    <w:p w14:paraId="12A62242" w14:textId="6AA7D67A" w:rsidR="004F2A6D" w:rsidRPr="004F2A6D" w:rsidRDefault="004F2A6D" w:rsidP="004F2A6D">
      <w:pPr>
        <w:rPr>
          <w:szCs w:val="24"/>
        </w:rPr>
      </w:pPr>
      <w:r w:rsidRPr="004F2A6D">
        <w:rPr>
          <w:iCs/>
          <w:noProof/>
          <w:szCs w:val="24"/>
        </w:rPr>
        <w:lastRenderedPageBreak/>
        <w:drawing>
          <wp:inline distT="0" distB="0" distL="0" distR="0" wp14:anchorId="5B77813F" wp14:editId="2ED158D8">
            <wp:extent cx="5283202" cy="40944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1">
                      <a:extLst>
                        <a:ext uri="{28A0092B-C50C-407E-A947-70E740481C1C}">
                          <a14:useLocalDpi xmlns:a14="http://schemas.microsoft.com/office/drawing/2010/main" val="0"/>
                        </a:ext>
                      </a:extLst>
                    </a:blip>
                    <a:stretch>
                      <a:fillRect/>
                    </a:stretch>
                  </pic:blipFill>
                  <pic:spPr>
                    <a:xfrm>
                      <a:off x="0" y="0"/>
                      <a:ext cx="5283202" cy="4094480"/>
                    </a:xfrm>
                    <a:prstGeom prst="rect">
                      <a:avLst/>
                    </a:prstGeom>
                  </pic:spPr>
                </pic:pic>
              </a:graphicData>
            </a:graphic>
          </wp:inline>
        </w:drawing>
      </w:r>
    </w:p>
    <w:p w14:paraId="6B175BC4" w14:textId="77777777" w:rsidR="004F2A6D" w:rsidRPr="00753451" w:rsidRDefault="004F2A6D" w:rsidP="00D46343">
      <w:pPr>
        <w:spacing w:line="480" w:lineRule="auto"/>
        <w:rPr>
          <w:iCs/>
          <w:szCs w:val="24"/>
        </w:rPr>
      </w:pPr>
    </w:p>
    <w:p w14:paraId="26C4EEE8" w14:textId="6A0E3359" w:rsidR="00DA35CD" w:rsidRPr="00753451" w:rsidRDefault="00DA35CD" w:rsidP="00DA35CD">
      <w:pPr>
        <w:spacing w:line="480" w:lineRule="auto"/>
        <w:rPr>
          <w:iCs/>
          <w:szCs w:val="24"/>
        </w:rPr>
      </w:pPr>
      <w:r w:rsidRPr="00753451">
        <w:rPr>
          <w:iCs/>
          <w:szCs w:val="24"/>
        </w:rPr>
        <w:t xml:space="preserve">INTRA-COMPANY </w:t>
      </w:r>
      <w:r w:rsidR="00B81D64" w:rsidRPr="00753451">
        <w:rPr>
          <w:iCs/>
          <w:szCs w:val="24"/>
        </w:rPr>
        <w:t>TRADE IS SIGNIFICANT, GROWING AT THE SAME PACE AS OVERALL INTERNATIONAL TRADE</w:t>
      </w:r>
    </w:p>
    <w:p w14:paraId="1526E6C9" w14:textId="75A93724" w:rsidR="00842163" w:rsidRPr="00753451" w:rsidRDefault="00842163" w:rsidP="00566468">
      <w:pPr>
        <w:spacing w:line="480" w:lineRule="auto"/>
        <w:jc w:val="center"/>
        <w:rPr>
          <w:szCs w:val="24"/>
        </w:rPr>
      </w:pPr>
      <w:r w:rsidRPr="00753451">
        <w:rPr>
          <w:szCs w:val="24"/>
        </w:rPr>
        <w:t>F</w:t>
      </w:r>
      <w:r w:rsidR="00D46343">
        <w:rPr>
          <w:szCs w:val="24"/>
        </w:rPr>
        <w:t>igure</w:t>
      </w:r>
      <w:r w:rsidRPr="00753451">
        <w:rPr>
          <w:szCs w:val="24"/>
        </w:rPr>
        <w:t xml:space="preserve"> 1-</w:t>
      </w:r>
      <w:proofErr w:type="gramStart"/>
      <w:r w:rsidRPr="00753451">
        <w:rPr>
          <w:szCs w:val="24"/>
        </w:rPr>
        <w:t>13</w:t>
      </w:r>
      <w:r w:rsidR="00566468">
        <w:rPr>
          <w:szCs w:val="24"/>
        </w:rPr>
        <w:t xml:space="preserve">  </w:t>
      </w:r>
      <w:r w:rsidR="00566468" w:rsidRPr="00566468">
        <w:rPr>
          <w:szCs w:val="24"/>
        </w:rPr>
        <w:t>Related</w:t>
      </w:r>
      <w:proofErr w:type="gramEnd"/>
      <w:r w:rsidR="00566468" w:rsidRPr="00566468">
        <w:rPr>
          <w:szCs w:val="24"/>
        </w:rPr>
        <w:t xml:space="preserve"> Party Share of U.S. Exports and U.S. </w:t>
      </w:r>
      <w:commentRangeStart w:id="4"/>
      <w:r w:rsidR="00566468" w:rsidRPr="00566468">
        <w:rPr>
          <w:szCs w:val="24"/>
        </w:rPr>
        <w:t>Imports</w:t>
      </w:r>
      <w:commentRangeEnd w:id="4"/>
      <w:r w:rsidR="007C3E39">
        <w:rPr>
          <w:rStyle w:val="CommentReference"/>
        </w:rPr>
        <w:commentReference w:id="4"/>
      </w:r>
    </w:p>
    <w:p w14:paraId="73753E73" w14:textId="156C1E48" w:rsidR="00566468" w:rsidRDefault="00B81D64" w:rsidP="00DA35CD">
      <w:pPr>
        <w:spacing w:line="480" w:lineRule="auto"/>
        <w:rPr>
          <w:iCs/>
          <w:szCs w:val="24"/>
        </w:rPr>
      </w:pPr>
      <w:r w:rsidRPr="00753451">
        <w:rPr>
          <w:iCs/>
          <w:szCs w:val="24"/>
        </w:rPr>
        <w:lastRenderedPageBreak/>
        <w:tab/>
      </w:r>
      <w:r w:rsidR="00566468">
        <w:rPr>
          <w:noProof/>
        </w:rPr>
        <w:drawing>
          <wp:inline distT="0" distB="0" distL="0" distR="0" wp14:anchorId="6FD27098" wp14:editId="0E9D2428">
            <wp:extent cx="5911850" cy="2806700"/>
            <wp:effectExtent l="0" t="0" r="12700" b="12700"/>
            <wp:docPr id="10" name="Chart 10">
              <a:extLst xmlns:a="http://schemas.openxmlformats.org/drawingml/2006/main">
                <a:ext uri="{FF2B5EF4-FFF2-40B4-BE49-F238E27FC236}">
                  <a16:creationId xmlns:a16="http://schemas.microsoft.com/office/drawing/2014/main" id="{00000000-0008-0000-0C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9394B50" w14:textId="7F63311B" w:rsidR="006F645F" w:rsidRPr="00753451" w:rsidRDefault="00B81D64" w:rsidP="00566468">
      <w:pPr>
        <w:spacing w:line="480" w:lineRule="auto"/>
        <w:ind w:firstLine="720"/>
        <w:rPr>
          <w:szCs w:val="24"/>
        </w:rPr>
      </w:pPr>
      <w:r w:rsidRPr="00753451">
        <w:rPr>
          <w:iCs/>
          <w:szCs w:val="24"/>
        </w:rPr>
        <w:t xml:space="preserve">Firms often prefer trade with their own affiliates as opposed to </w:t>
      </w:r>
      <w:r w:rsidR="00FF5245">
        <w:rPr>
          <w:iCs/>
          <w:szCs w:val="24"/>
        </w:rPr>
        <w:t xml:space="preserve">arms-length </w:t>
      </w:r>
      <w:r w:rsidR="00584C63">
        <w:rPr>
          <w:iCs/>
          <w:szCs w:val="24"/>
        </w:rPr>
        <w:t>transactions with</w:t>
      </w:r>
      <w:r w:rsidRPr="00753451">
        <w:rPr>
          <w:iCs/>
          <w:szCs w:val="24"/>
        </w:rPr>
        <w:t xml:space="preserve"> other companies. </w:t>
      </w:r>
      <w:r w:rsidR="00DA35CD" w:rsidRPr="00753451">
        <w:rPr>
          <w:szCs w:val="24"/>
        </w:rPr>
        <w:t xml:space="preserve">Trade in goods between the affiliates of </w:t>
      </w:r>
      <w:proofErr w:type="spellStart"/>
      <w:r w:rsidR="00DA35CD" w:rsidRPr="00753451">
        <w:rPr>
          <w:szCs w:val="24"/>
        </w:rPr>
        <w:t>mult</w:t>
      </w:r>
      <w:r w:rsidR="006F645F" w:rsidRPr="00753451">
        <w:rPr>
          <w:szCs w:val="24"/>
        </w:rPr>
        <w:t>national</w:t>
      </w:r>
      <w:proofErr w:type="spellEnd"/>
      <w:r w:rsidR="006F645F" w:rsidRPr="00753451">
        <w:rPr>
          <w:szCs w:val="24"/>
        </w:rPr>
        <w:t xml:space="preserve"> firms </w:t>
      </w:r>
      <w:r w:rsidR="00DA35CD" w:rsidRPr="00753451">
        <w:rPr>
          <w:szCs w:val="24"/>
        </w:rPr>
        <w:t>is significant – accounting for</w:t>
      </w:r>
      <w:r w:rsidR="00842163" w:rsidRPr="00753451">
        <w:rPr>
          <w:szCs w:val="24"/>
        </w:rPr>
        <w:t xml:space="preserve"> 37 percent of U.S. exports and </w:t>
      </w:r>
      <w:proofErr w:type="gramStart"/>
      <w:r w:rsidR="00DA35CD" w:rsidRPr="00753451">
        <w:rPr>
          <w:szCs w:val="24"/>
        </w:rPr>
        <w:t>39  percent</w:t>
      </w:r>
      <w:proofErr w:type="gramEnd"/>
      <w:r w:rsidR="00DA35CD" w:rsidRPr="00753451">
        <w:rPr>
          <w:szCs w:val="24"/>
        </w:rPr>
        <w:t xml:space="preserve"> of U.S imports in 2017</w:t>
      </w:r>
      <w:r w:rsidR="00FF5245">
        <w:rPr>
          <w:szCs w:val="24"/>
        </w:rPr>
        <w:t xml:space="preserve">. It </w:t>
      </w:r>
      <w:r w:rsidR="00DA35CD" w:rsidRPr="00753451">
        <w:rPr>
          <w:szCs w:val="24"/>
        </w:rPr>
        <w:t xml:space="preserve">has grown </w:t>
      </w:r>
      <w:r w:rsidR="00FF5245">
        <w:rPr>
          <w:szCs w:val="24"/>
        </w:rPr>
        <w:t>at roughly the same pace as</w:t>
      </w:r>
      <w:r w:rsidR="00DA35CD" w:rsidRPr="00753451">
        <w:rPr>
          <w:szCs w:val="24"/>
        </w:rPr>
        <w:t xml:space="preserve"> the growth in overall </w:t>
      </w:r>
      <w:r w:rsidR="00842163" w:rsidRPr="00753451">
        <w:rPr>
          <w:szCs w:val="24"/>
        </w:rPr>
        <w:t xml:space="preserve">international trade. </w:t>
      </w:r>
      <w:r w:rsidR="00FF5245">
        <w:rPr>
          <w:szCs w:val="24"/>
        </w:rPr>
        <w:t>In other words, g</w:t>
      </w:r>
      <w:r w:rsidR="00DD2D28" w:rsidRPr="00753451">
        <w:rPr>
          <w:szCs w:val="24"/>
        </w:rPr>
        <w:t>l</w:t>
      </w:r>
      <w:r w:rsidR="006F645F" w:rsidRPr="00753451">
        <w:rPr>
          <w:szCs w:val="24"/>
        </w:rPr>
        <w:t>obal</w:t>
      </w:r>
      <w:r w:rsidR="00842163" w:rsidRPr="00753451">
        <w:rPr>
          <w:szCs w:val="24"/>
        </w:rPr>
        <w:t xml:space="preserve">ization and the expansion of multinational firms have not led to a </w:t>
      </w:r>
      <w:r w:rsidR="006F645F" w:rsidRPr="00753451">
        <w:rPr>
          <w:szCs w:val="24"/>
        </w:rPr>
        <w:t>rising share of intrafirm trade, nor has intrafirm trade been supplanted by trade between unrelated parties</w:t>
      </w:r>
      <w:r w:rsidR="00842163" w:rsidRPr="00753451">
        <w:rPr>
          <w:szCs w:val="24"/>
        </w:rPr>
        <w:t xml:space="preserve">.  </w:t>
      </w:r>
      <w:r w:rsidR="00584C63">
        <w:rPr>
          <w:szCs w:val="24"/>
        </w:rPr>
        <w:t>Unfortunately there are no</w:t>
      </w:r>
      <w:r w:rsidR="006F645F" w:rsidRPr="00753451">
        <w:rPr>
          <w:szCs w:val="24"/>
        </w:rPr>
        <w:t xml:space="preserve"> comprehensive data that capture the widely reported arrangement</w:t>
      </w:r>
      <w:r w:rsidR="00FF5245">
        <w:rPr>
          <w:szCs w:val="24"/>
        </w:rPr>
        <w:t>s – common in apparel and electronics, among other industries -- i</w:t>
      </w:r>
      <w:r w:rsidR="006F645F" w:rsidRPr="00753451">
        <w:rPr>
          <w:szCs w:val="24"/>
        </w:rPr>
        <w:t>n which multinational firms hire foreign firms in which they have no equity stakes to make and assemble products</w:t>
      </w:r>
      <w:r w:rsidR="00584C63">
        <w:rPr>
          <w:szCs w:val="24"/>
        </w:rPr>
        <w:t>, so it is difficult to know to what extent such transactions now supplement related party trade</w:t>
      </w:r>
      <w:r w:rsidR="00FF5245">
        <w:rPr>
          <w:szCs w:val="24"/>
        </w:rPr>
        <w:t>.</w:t>
      </w:r>
    </w:p>
    <w:p w14:paraId="368561D0" w14:textId="3BF4D858" w:rsidR="006F645F" w:rsidRPr="00753451" w:rsidRDefault="00B81D64" w:rsidP="008416AD">
      <w:pPr>
        <w:spacing w:line="480" w:lineRule="auto"/>
        <w:rPr>
          <w:szCs w:val="24"/>
        </w:rPr>
      </w:pPr>
      <w:r w:rsidRPr="00753451">
        <w:rPr>
          <w:szCs w:val="24"/>
        </w:rPr>
        <w:t xml:space="preserve">A GROWING SHARE OF MULTINATIONALS’ PROFITS COME FROM ABROAD. </w:t>
      </w:r>
    </w:p>
    <w:p w14:paraId="627F7CFE" w14:textId="77777777" w:rsidR="00D46343" w:rsidRDefault="00D46343" w:rsidP="006811FB">
      <w:pPr>
        <w:spacing w:line="480" w:lineRule="auto"/>
        <w:jc w:val="center"/>
        <w:rPr>
          <w:szCs w:val="24"/>
        </w:rPr>
      </w:pPr>
    </w:p>
    <w:p w14:paraId="056077A8" w14:textId="77777777" w:rsidR="00D46343" w:rsidRDefault="00D46343" w:rsidP="006811FB">
      <w:pPr>
        <w:spacing w:line="480" w:lineRule="auto"/>
        <w:jc w:val="center"/>
        <w:rPr>
          <w:szCs w:val="24"/>
        </w:rPr>
      </w:pPr>
    </w:p>
    <w:p w14:paraId="5219CC1F" w14:textId="77777777" w:rsidR="00D46343" w:rsidRDefault="00D46343" w:rsidP="006811FB">
      <w:pPr>
        <w:spacing w:line="480" w:lineRule="auto"/>
        <w:jc w:val="center"/>
        <w:rPr>
          <w:szCs w:val="24"/>
        </w:rPr>
      </w:pPr>
    </w:p>
    <w:p w14:paraId="3B1C6F6A" w14:textId="60DB24A6" w:rsidR="00B81D64" w:rsidRPr="00753451" w:rsidRDefault="00B81D64" w:rsidP="006811FB">
      <w:pPr>
        <w:spacing w:line="480" w:lineRule="auto"/>
        <w:jc w:val="center"/>
        <w:rPr>
          <w:szCs w:val="24"/>
        </w:rPr>
      </w:pPr>
      <w:r w:rsidRPr="00753451">
        <w:rPr>
          <w:szCs w:val="24"/>
        </w:rPr>
        <w:lastRenderedPageBreak/>
        <w:t>F</w:t>
      </w:r>
      <w:r w:rsidR="00D46343">
        <w:rPr>
          <w:szCs w:val="24"/>
        </w:rPr>
        <w:t>igure</w:t>
      </w:r>
      <w:r w:rsidRPr="00753451">
        <w:rPr>
          <w:szCs w:val="24"/>
        </w:rPr>
        <w:t xml:space="preserve"> 1-</w:t>
      </w:r>
      <w:proofErr w:type="gramStart"/>
      <w:r w:rsidRPr="00753451">
        <w:rPr>
          <w:szCs w:val="24"/>
        </w:rPr>
        <w:t>14</w:t>
      </w:r>
      <w:r w:rsidR="006811FB">
        <w:rPr>
          <w:szCs w:val="24"/>
        </w:rPr>
        <w:t xml:space="preserve">  </w:t>
      </w:r>
      <w:r w:rsidR="006811FB" w:rsidRPr="006811FB">
        <w:rPr>
          <w:szCs w:val="24"/>
        </w:rPr>
        <w:t>U.S.</w:t>
      </w:r>
      <w:proofErr w:type="gramEnd"/>
      <w:r w:rsidR="006811FB" w:rsidRPr="006811FB">
        <w:rPr>
          <w:szCs w:val="24"/>
        </w:rPr>
        <w:t xml:space="preserve"> Direct Investment Abroad Equity Income Share of U.S. Worldwide Corporate Profits</w:t>
      </w:r>
    </w:p>
    <w:p w14:paraId="31101421" w14:textId="70753D2A" w:rsidR="006811FB" w:rsidRDefault="006811FB" w:rsidP="008416AD">
      <w:pPr>
        <w:spacing w:line="480" w:lineRule="auto"/>
        <w:rPr>
          <w:szCs w:val="24"/>
        </w:rPr>
      </w:pPr>
      <w:r>
        <w:rPr>
          <w:noProof/>
        </w:rPr>
        <w:drawing>
          <wp:inline distT="0" distB="0" distL="0" distR="0" wp14:anchorId="5CB8732F" wp14:editId="7036ACFB">
            <wp:extent cx="5867400" cy="2533650"/>
            <wp:effectExtent l="0" t="0" r="0" b="0"/>
            <wp:docPr id="11" name="Chart 11">
              <a:extLst xmlns:a="http://schemas.openxmlformats.org/drawingml/2006/main">
                <a:ext uri="{FF2B5EF4-FFF2-40B4-BE49-F238E27FC236}">
                  <a16:creationId xmlns:a16="http://schemas.microsoft.com/office/drawing/2014/main" id="{00000000-0008-0000-0D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B81D64" w:rsidRPr="00753451">
        <w:rPr>
          <w:szCs w:val="24"/>
        </w:rPr>
        <w:tab/>
      </w:r>
    </w:p>
    <w:p w14:paraId="25B6030E" w14:textId="1B5FD5CB" w:rsidR="006F645F" w:rsidRPr="00753451" w:rsidRDefault="00584C63" w:rsidP="00B81D64">
      <w:pPr>
        <w:spacing w:line="480" w:lineRule="auto"/>
        <w:ind w:firstLine="720"/>
        <w:rPr>
          <w:szCs w:val="24"/>
        </w:rPr>
      </w:pPr>
      <w:r>
        <w:rPr>
          <w:szCs w:val="24"/>
        </w:rPr>
        <w:t>There is ample reason to believe that U.S. multinational firms derive ever-greater shares of their profitability from their foreign operations, though g</w:t>
      </w:r>
      <w:r w:rsidR="00DD2D28" w:rsidRPr="00753451">
        <w:rPr>
          <w:szCs w:val="24"/>
        </w:rPr>
        <w:t xml:space="preserve">iven </w:t>
      </w:r>
      <w:r w:rsidR="006F645F" w:rsidRPr="00753451">
        <w:rPr>
          <w:szCs w:val="24"/>
        </w:rPr>
        <w:t>the available data and inherent ambiguity in the origin of profits</w:t>
      </w:r>
      <w:r w:rsidR="00B81D64" w:rsidRPr="00753451">
        <w:rPr>
          <w:szCs w:val="24"/>
        </w:rPr>
        <w:t xml:space="preserve">, precisely measuring the profitability of U.S. multinationals foreign operations is difficult. </w:t>
      </w:r>
      <w:r w:rsidR="00DD2D28" w:rsidRPr="00753451">
        <w:rPr>
          <w:szCs w:val="24"/>
        </w:rPr>
        <w:t xml:space="preserve"> D</w:t>
      </w:r>
      <w:r w:rsidR="006F645F" w:rsidRPr="00753451">
        <w:rPr>
          <w:szCs w:val="24"/>
        </w:rPr>
        <w:t>ata</w:t>
      </w:r>
      <w:r w:rsidR="00DD2D28" w:rsidRPr="00753451">
        <w:rPr>
          <w:szCs w:val="24"/>
        </w:rPr>
        <w:t xml:space="preserve"> </w:t>
      </w:r>
      <w:r w:rsidR="00B81D64" w:rsidRPr="00753451">
        <w:rPr>
          <w:szCs w:val="24"/>
        </w:rPr>
        <w:t xml:space="preserve">from national income accounts </w:t>
      </w:r>
      <w:r w:rsidR="00DD2D28" w:rsidRPr="00753451">
        <w:rPr>
          <w:szCs w:val="24"/>
        </w:rPr>
        <w:t>on U.S. firms’ direc</w:t>
      </w:r>
      <w:r w:rsidR="00DF14FE">
        <w:rPr>
          <w:szCs w:val="24"/>
        </w:rPr>
        <w:t xml:space="preserve">t </w:t>
      </w:r>
      <w:r w:rsidR="00DD2D28" w:rsidRPr="00753451">
        <w:rPr>
          <w:szCs w:val="24"/>
        </w:rPr>
        <w:t>investment income on equity investments abroad</w:t>
      </w:r>
      <w:r w:rsidR="006F645F" w:rsidRPr="00753451">
        <w:rPr>
          <w:szCs w:val="24"/>
        </w:rPr>
        <w:t xml:space="preserve"> indicate that </w:t>
      </w:r>
      <w:r w:rsidR="00DF14FE">
        <w:rPr>
          <w:szCs w:val="24"/>
        </w:rPr>
        <w:t xml:space="preserve">the overseas share of profits </w:t>
      </w:r>
      <w:r w:rsidR="00B81D64" w:rsidRPr="00753451">
        <w:rPr>
          <w:szCs w:val="24"/>
        </w:rPr>
        <w:t xml:space="preserve">grew from </w:t>
      </w:r>
      <w:r w:rsidR="006F645F" w:rsidRPr="00753451">
        <w:rPr>
          <w:szCs w:val="24"/>
        </w:rPr>
        <w:t xml:space="preserve">14 percent in 1982 </w:t>
      </w:r>
      <w:proofErr w:type="gramStart"/>
      <w:r w:rsidR="00B81D64" w:rsidRPr="00753451">
        <w:rPr>
          <w:szCs w:val="24"/>
        </w:rPr>
        <w:t xml:space="preserve">to </w:t>
      </w:r>
      <w:r w:rsidR="006F645F" w:rsidRPr="00753451">
        <w:rPr>
          <w:szCs w:val="24"/>
        </w:rPr>
        <w:t xml:space="preserve"> 23</w:t>
      </w:r>
      <w:proofErr w:type="gramEnd"/>
      <w:r w:rsidR="006F645F" w:rsidRPr="00753451">
        <w:rPr>
          <w:szCs w:val="24"/>
        </w:rPr>
        <w:t xml:space="preserve"> percent in 2017. The foreign share of profits tends to rise during U.S. recessions, </w:t>
      </w:r>
      <w:r>
        <w:rPr>
          <w:szCs w:val="24"/>
        </w:rPr>
        <w:t xml:space="preserve">a pattern </w:t>
      </w:r>
      <w:r w:rsidR="006F645F" w:rsidRPr="00753451">
        <w:rPr>
          <w:szCs w:val="24"/>
        </w:rPr>
        <w:t xml:space="preserve">particularly evident in 2008, because of the relative decline of profitability in the United States. </w:t>
      </w:r>
    </w:p>
    <w:p w14:paraId="5BF530F5" w14:textId="2E9462E6" w:rsidR="006F645F" w:rsidRPr="00753451" w:rsidRDefault="006F645F" w:rsidP="008416AD">
      <w:pPr>
        <w:spacing w:line="480" w:lineRule="auto"/>
        <w:ind w:firstLine="720"/>
        <w:rPr>
          <w:szCs w:val="24"/>
        </w:rPr>
      </w:pPr>
      <w:r w:rsidRPr="00753451">
        <w:rPr>
          <w:szCs w:val="24"/>
        </w:rPr>
        <w:t>Another approach</w:t>
      </w:r>
      <w:r w:rsidR="00584C63">
        <w:rPr>
          <w:szCs w:val="24"/>
        </w:rPr>
        <w:t xml:space="preserve"> to measuring the </w:t>
      </w:r>
      <w:proofErr w:type="spellStart"/>
      <w:r w:rsidR="00584C63">
        <w:rPr>
          <w:szCs w:val="24"/>
        </w:rPr>
        <w:t>contributioin</w:t>
      </w:r>
      <w:proofErr w:type="spellEnd"/>
      <w:r w:rsidR="00584C63">
        <w:rPr>
          <w:szCs w:val="24"/>
        </w:rPr>
        <w:t xml:space="preserve"> of foreign profits</w:t>
      </w:r>
      <w:r w:rsidRPr="00753451">
        <w:rPr>
          <w:szCs w:val="24"/>
        </w:rPr>
        <w:t xml:space="preserve"> </w:t>
      </w:r>
      <w:r w:rsidR="00B81D64" w:rsidRPr="00753451">
        <w:rPr>
          <w:szCs w:val="24"/>
        </w:rPr>
        <w:t>uses</w:t>
      </w:r>
      <w:r w:rsidR="00DD2D28" w:rsidRPr="00753451">
        <w:rPr>
          <w:szCs w:val="24"/>
        </w:rPr>
        <w:t xml:space="preserve"> </w:t>
      </w:r>
      <w:r w:rsidRPr="00753451">
        <w:rPr>
          <w:szCs w:val="24"/>
        </w:rPr>
        <w:t xml:space="preserve">data on total and foreign pretax income reported by U.S.-based publicly listed firms and compiled by </w:t>
      </w:r>
      <w:proofErr w:type="spellStart"/>
      <w:r w:rsidRPr="00753451">
        <w:rPr>
          <w:szCs w:val="24"/>
        </w:rPr>
        <w:t>Compustat</w:t>
      </w:r>
      <w:proofErr w:type="spellEnd"/>
      <w:r w:rsidR="00B81D64" w:rsidRPr="00753451">
        <w:rPr>
          <w:szCs w:val="24"/>
        </w:rPr>
        <w:t>. Th</w:t>
      </w:r>
      <w:r w:rsidR="00584C63">
        <w:rPr>
          <w:szCs w:val="24"/>
        </w:rPr>
        <w:t>ese data</w:t>
      </w:r>
      <w:r w:rsidR="00B81D64" w:rsidRPr="00753451">
        <w:rPr>
          <w:szCs w:val="24"/>
        </w:rPr>
        <w:t xml:space="preserve"> show</w:t>
      </w:r>
      <w:r w:rsidR="00584C63">
        <w:rPr>
          <w:szCs w:val="24"/>
        </w:rPr>
        <w:t xml:space="preserve"> that foreign</w:t>
      </w:r>
      <w:r w:rsidR="00B81D64" w:rsidRPr="00753451">
        <w:rPr>
          <w:szCs w:val="24"/>
        </w:rPr>
        <w:t xml:space="preserve"> </w:t>
      </w:r>
      <w:r w:rsidR="00DD2D28" w:rsidRPr="00753451">
        <w:rPr>
          <w:szCs w:val="24"/>
        </w:rPr>
        <w:t xml:space="preserve">profits </w:t>
      </w:r>
      <w:r w:rsidR="00DF14FE">
        <w:rPr>
          <w:szCs w:val="24"/>
        </w:rPr>
        <w:t>rose</w:t>
      </w:r>
      <w:r w:rsidR="00B81D64" w:rsidRPr="00753451">
        <w:rPr>
          <w:szCs w:val="24"/>
        </w:rPr>
        <w:t xml:space="preserve"> </w:t>
      </w:r>
      <w:r w:rsidRPr="00753451">
        <w:rPr>
          <w:szCs w:val="24"/>
        </w:rPr>
        <w:t>from 23 percent</w:t>
      </w:r>
      <w:r w:rsidR="00584C63">
        <w:rPr>
          <w:szCs w:val="24"/>
        </w:rPr>
        <w:t xml:space="preserve"> of the total</w:t>
      </w:r>
      <w:r w:rsidRPr="00753451">
        <w:rPr>
          <w:szCs w:val="24"/>
        </w:rPr>
        <w:t xml:space="preserve"> in 1989 to 34 percent in 2017. These data likewise show that the foreign share of profits rises when the U.S. economy is weak; indeed, the measure exceeds 100 percent in 2008, when many large listed financial services firms reported significant losses. </w:t>
      </w:r>
      <w:r w:rsidR="00B81D64" w:rsidRPr="00753451">
        <w:rPr>
          <w:szCs w:val="24"/>
        </w:rPr>
        <w:t>T</w:t>
      </w:r>
      <w:r w:rsidRPr="00753451">
        <w:rPr>
          <w:szCs w:val="24"/>
        </w:rPr>
        <w:t xml:space="preserve">hese data must be interpreted carefully, since the total </w:t>
      </w:r>
      <w:r w:rsidRPr="00753451">
        <w:rPr>
          <w:szCs w:val="24"/>
        </w:rPr>
        <w:lastRenderedPageBreak/>
        <w:t>number of publicly listed firms has declined precipitously over time, so those that remain listed tend to be larger on average than previously</w:t>
      </w:r>
      <w:r w:rsidR="00B81D64" w:rsidRPr="00753451">
        <w:rPr>
          <w:szCs w:val="24"/>
        </w:rPr>
        <w:t xml:space="preserve">. Still, </w:t>
      </w:r>
      <w:r w:rsidRPr="00753451">
        <w:rPr>
          <w:szCs w:val="24"/>
        </w:rPr>
        <w:t xml:space="preserve">it is noteworthy that 19 percent of listed firms reported earning pretax foreign income in 1989, whereas 38 percent did so in 2017. </w:t>
      </w:r>
    </w:p>
    <w:p w14:paraId="686400C4" w14:textId="01CB2A56" w:rsidR="006F645F" w:rsidRDefault="006F645F" w:rsidP="008416AD">
      <w:pPr>
        <w:spacing w:line="480" w:lineRule="auto"/>
        <w:rPr>
          <w:szCs w:val="24"/>
        </w:rPr>
      </w:pPr>
    </w:p>
    <w:p w14:paraId="53F5E2F3" w14:textId="77777777" w:rsidR="00DF14FE" w:rsidRDefault="00BC7A0F" w:rsidP="00DF14FE">
      <w:pPr>
        <w:spacing w:line="480" w:lineRule="auto"/>
        <w:rPr>
          <w:szCs w:val="24"/>
        </w:rPr>
      </w:pPr>
      <w:r>
        <w:rPr>
          <w:szCs w:val="24"/>
        </w:rPr>
        <w:t>MULTINATIONALS’ TAX RATES HAVE DECLINED OVER TIME</w:t>
      </w:r>
      <w:r w:rsidR="00DF14FE">
        <w:rPr>
          <w:szCs w:val="24"/>
        </w:rPr>
        <w:t xml:space="preserve"> and USE OF TAX HAVENS HAS INCREASED </w:t>
      </w:r>
    </w:p>
    <w:p w14:paraId="45B5B2D6" w14:textId="75B24B0B" w:rsidR="00D61D5F" w:rsidRPr="00B369D8" w:rsidRDefault="00D61D5F" w:rsidP="00DF14FE">
      <w:pPr>
        <w:spacing w:line="480" w:lineRule="auto"/>
      </w:pPr>
      <w:r>
        <w:rPr>
          <w:szCs w:val="24"/>
        </w:rPr>
        <w:t>F</w:t>
      </w:r>
      <w:r w:rsidR="00D46343">
        <w:rPr>
          <w:szCs w:val="24"/>
        </w:rPr>
        <w:t>igure</w:t>
      </w:r>
      <w:r>
        <w:rPr>
          <w:szCs w:val="24"/>
        </w:rPr>
        <w:t xml:space="preserve"> 11- 1 </w:t>
      </w:r>
      <w:r w:rsidR="00B369D8">
        <w:t>Percentage</w:t>
      </w:r>
      <w:r w:rsidR="00B369D8" w:rsidRPr="00B369D8">
        <w:t xml:space="preserve"> of U</w:t>
      </w:r>
      <w:r w:rsidR="00D46343">
        <w:t>.</w:t>
      </w:r>
      <w:r w:rsidR="00B369D8" w:rsidRPr="00B369D8">
        <w:t>S</w:t>
      </w:r>
      <w:r w:rsidR="00D46343">
        <w:t>.</w:t>
      </w:r>
      <w:r w:rsidR="00B369D8" w:rsidRPr="00B369D8">
        <w:t xml:space="preserve"> MNCs' Foreign Activity in </w:t>
      </w:r>
      <w:r w:rsidR="00B972CD">
        <w:t xml:space="preserve">Tax </w:t>
      </w:r>
      <w:commentRangeStart w:id="5"/>
      <w:r w:rsidR="00B369D8" w:rsidRPr="00B369D8">
        <w:t>Havens</w:t>
      </w:r>
      <w:commentRangeEnd w:id="5"/>
      <w:r w:rsidR="007C3E39">
        <w:rPr>
          <w:rStyle w:val="CommentReference"/>
        </w:rPr>
        <w:commentReference w:id="5"/>
      </w:r>
    </w:p>
    <w:p w14:paraId="1D4F6F70" w14:textId="02242575" w:rsidR="00B369D8" w:rsidRDefault="00B369D8" w:rsidP="008416AD">
      <w:pPr>
        <w:spacing w:line="480" w:lineRule="auto"/>
        <w:ind w:firstLine="720"/>
        <w:rPr>
          <w:szCs w:val="24"/>
        </w:rPr>
      </w:pPr>
      <w:r>
        <w:rPr>
          <w:noProof/>
        </w:rPr>
        <w:drawing>
          <wp:inline distT="0" distB="0" distL="0" distR="0" wp14:anchorId="3FBDB167" wp14:editId="6A9D2991">
            <wp:extent cx="5461000" cy="2876550"/>
            <wp:effectExtent l="0" t="0" r="6350" b="0"/>
            <wp:docPr id="13" name="Chart 13">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37A8606" w14:textId="505F8A5F" w:rsidR="00D61D5F" w:rsidRDefault="00D61D5F" w:rsidP="00E65125">
      <w:pPr>
        <w:spacing w:line="480" w:lineRule="auto"/>
        <w:jc w:val="center"/>
        <w:rPr>
          <w:szCs w:val="24"/>
        </w:rPr>
      </w:pPr>
      <w:r>
        <w:rPr>
          <w:szCs w:val="24"/>
        </w:rPr>
        <w:t>F</w:t>
      </w:r>
      <w:r w:rsidR="00D46343">
        <w:rPr>
          <w:szCs w:val="24"/>
        </w:rPr>
        <w:t>igure</w:t>
      </w:r>
      <w:r>
        <w:rPr>
          <w:szCs w:val="24"/>
        </w:rPr>
        <w:t xml:space="preserve"> 1-</w:t>
      </w:r>
      <w:proofErr w:type="gramStart"/>
      <w:r>
        <w:rPr>
          <w:szCs w:val="24"/>
        </w:rPr>
        <w:t>16</w:t>
      </w:r>
      <w:r w:rsidR="00E65125">
        <w:rPr>
          <w:szCs w:val="24"/>
        </w:rPr>
        <w:t xml:space="preserve">  </w:t>
      </w:r>
      <w:r w:rsidR="00E65125" w:rsidRPr="00E65125">
        <w:rPr>
          <w:szCs w:val="24"/>
        </w:rPr>
        <w:t>Share</w:t>
      </w:r>
      <w:proofErr w:type="gramEnd"/>
      <w:r w:rsidR="00E65125" w:rsidRPr="00E65125">
        <w:rPr>
          <w:szCs w:val="24"/>
        </w:rPr>
        <w:t xml:space="preserve"> of U.S. Multinational Parent Firms with Affiliates in Tax </w:t>
      </w:r>
      <w:commentRangeStart w:id="6"/>
      <w:r w:rsidR="00E65125" w:rsidRPr="00E65125">
        <w:rPr>
          <w:szCs w:val="24"/>
        </w:rPr>
        <w:t>Havens</w:t>
      </w:r>
      <w:commentRangeEnd w:id="6"/>
      <w:r w:rsidR="007C3E39">
        <w:rPr>
          <w:rStyle w:val="CommentReference"/>
        </w:rPr>
        <w:commentReference w:id="6"/>
      </w:r>
    </w:p>
    <w:p w14:paraId="6DE081B0" w14:textId="3A2611F6" w:rsidR="00B369D8" w:rsidRDefault="00E65125" w:rsidP="008416AD">
      <w:pPr>
        <w:spacing w:line="480" w:lineRule="auto"/>
        <w:ind w:firstLine="720"/>
        <w:rPr>
          <w:szCs w:val="24"/>
        </w:rPr>
      </w:pPr>
      <w:r>
        <w:rPr>
          <w:noProof/>
        </w:rPr>
        <w:lastRenderedPageBreak/>
        <w:drawing>
          <wp:inline distT="0" distB="0" distL="0" distR="0" wp14:anchorId="618BCACE" wp14:editId="1D34BB2C">
            <wp:extent cx="5397500" cy="2552700"/>
            <wp:effectExtent l="0" t="0" r="12700" b="0"/>
            <wp:docPr id="14" name="Chart 14">
              <a:extLst xmlns:a="http://schemas.openxmlformats.org/drawingml/2006/main">
                <a:ext uri="{FF2B5EF4-FFF2-40B4-BE49-F238E27FC236}">
                  <a16:creationId xmlns:a16="http://schemas.microsoft.com/office/drawing/2014/main" id="{00000000-0008-0000-0F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BDA4495" w14:textId="7B067D93" w:rsidR="006F645F" w:rsidRPr="00753451" w:rsidRDefault="00D61D5F" w:rsidP="008416AD">
      <w:pPr>
        <w:spacing w:line="480" w:lineRule="auto"/>
        <w:ind w:firstLine="720"/>
        <w:rPr>
          <w:szCs w:val="24"/>
        </w:rPr>
      </w:pPr>
      <w:r>
        <w:rPr>
          <w:szCs w:val="24"/>
        </w:rPr>
        <w:t>A</w:t>
      </w:r>
      <w:r w:rsidR="006F645F" w:rsidRPr="00753451">
        <w:rPr>
          <w:szCs w:val="24"/>
        </w:rPr>
        <w:t xml:space="preserve"> common concern about the reported growth and rising share of foreign profits among </w:t>
      </w:r>
      <w:proofErr w:type="gramStart"/>
      <w:r w:rsidR="00DF14FE">
        <w:rPr>
          <w:szCs w:val="24"/>
        </w:rPr>
        <w:t xml:space="preserve">MNCs </w:t>
      </w:r>
      <w:r w:rsidR="006F645F" w:rsidRPr="00753451">
        <w:rPr>
          <w:szCs w:val="24"/>
        </w:rPr>
        <w:t xml:space="preserve"> is</w:t>
      </w:r>
      <w:proofErr w:type="gramEnd"/>
      <w:r w:rsidR="006F645F" w:rsidRPr="00753451">
        <w:rPr>
          <w:szCs w:val="24"/>
        </w:rPr>
        <w:t xml:space="preserve"> that this growth reflects behavior aimed at avoiding</w:t>
      </w:r>
      <w:r w:rsidR="00DF14FE">
        <w:rPr>
          <w:szCs w:val="24"/>
        </w:rPr>
        <w:t xml:space="preserve"> home-country </w:t>
      </w:r>
      <w:r w:rsidR="006F645F" w:rsidRPr="00753451">
        <w:rPr>
          <w:szCs w:val="24"/>
        </w:rPr>
        <w:t>tax obligations,</w:t>
      </w:r>
      <w:r w:rsidR="00DF14FE">
        <w:rPr>
          <w:szCs w:val="24"/>
        </w:rPr>
        <w:t xml:space="preserve"> </w:t>
      </w:r>
      <w:r w:rsidR="006F645F" w:rsidRPr="00753451">
        <w:rPr>
          <w:szCs w:val="24"/>
        </w:rPr>
        <w:t>as firms report that income was earned in low-tax foreign countries</w:t>
      </w:r>
      <w:r w:rsidR="00DF14FE">
        <w:rPr>
          <w:szCs w:val="24"/>
        </w:rPr>
        <w:t xml:space="preserve">. </w:t>
      </w:r>
      <w:r w:rsidR="006F645F" w:rsidRPr="00753451">
        <w:rPr>
          <w:szCs w:val="24"/>
        </w:rPr>
        <w:t>Widely publicized examples of companies using complicated financial transactions to avoid tax obligations, together with rising fractions of reported profitability in low-tax foreign locations, suggests to many that high-tax countries are increasingly unable</w:t>
      </w:r>
      <w:r w:rsidR="00DF14FE">
        <w:rPr>
          <w:szCs w:val="24"/>
        </w:rPr>
        <w:t xml:space="preserve"> – or unwilling --- t</w:t>
      </w:r>
      <w:r w:rsidR="006F645F" w:rsidRPr="00753451">
        <w:rPr>
          <w:szCs w:val="24"/>
        </w:rPr>
        <w:t>o prevent multinational firms from shifting significant portions of their profits away from the places in which those profits were actually earned.</w:t>
      </w:r>
    </w:p>
    <w:p w14:paraId="4F85AF9E" w14:textId="0BCFB89F" w:rsidR="006F645F" w:rsidRPr="00753451" w:rsidRDefault="00DF14FE" w:rsidP="008416AD">
      <w:pPr>
        <w:spacing w:line="480" w:lineRule="auto"/>
        <w:ind w:firstLine="720"/>
        <w:rPr>
          <w:szCs w:val="24"/>
        </w:rPr>
      </w:pPr>
      <w:r>
        <w:rPr>
          <w:szCs w:val="24"/>
        </w:rPr>
        <w:t>T</w:t>
      </w:r>
      <w:r w:rsidR="006F645F" w:rsidRPr="00753451">
        <w:rPr>
          <w:szCs w:val="24"/>
        </w:rPr>
        <w:t>ax haven countries</w:t>
      </w:r>
      <w:r>
        <w:rPr>
          <w:szCs w:val="24"/>
        </w:rPr>
        <w:t xml:space="preserve"> </w:t>
      </w:r>
      <w:r w:rsidR="006F645F" w:rsidRPr="00753451">
        <w:rPr>
          <w:szCs w:val="24"/>
        </w:rPr>
        <w:t>are those with very low tax rates, business-friendly regulations, and other features intended to attract foreign business investment.</w:t>
      </w:r>
      <w:commentRangeStart w:id="7"/>
      <w:commentRangeStart w:id="8"/>
      <w:commentRangeStart w:id="9"/>
      <w:commentRangeStart w:id="10"/>
      <w:r w:rsidR="006F645F" w:rsidRPr="00753451">
        <w:rPr>
          <w:szCs w:val="24"/>
        </w:rPr>
        <w:t xml:space="preserve"> Tax havens had just 0.9 percent of the non-U.S. world population, </w:t>
      </w:r>
      <w:r>
        <w:rPr>
          <w:szCs w:val="24"/>
        </w:rPr>
        <w:t xml:space="preserve">in </w:t>
      </w:r>
      <w:r w:rsidRPr="00753451">
        <w:rPr>
          <w:szCs w:val="24"/>
        </w:rPr>
        <w:t xml:space="preserve">2016 </w:t>
      </w:r>
      <w:r w:rsidR="006F645F" w:rsidRPr="00753451">
        <w:rPr>
          <w:szCs w:val="24"/>
        </w:rPr>
        <w:t xml:space="preserve">and 3.2 percent of non-U.S. world GDP, but 13.5 percent of the foreign property, plant, and equipment of U.S. </w:t>
      </w:r>
      <w:r w:rsidR="00D61D5F">
        <w:rPr>
          <w:szCs w:val="24"/>
        </w:rPr>
        <w:t xml:space="preserve">MNCs, </w:t>
      </w:r>
      <w:proofErr w:type="gramStart"/>
      <w:r w:rsidR="00D61D5F">
        <w:rPr>
          <w:szCs w:val="24"/>
        </w:rPr>
        <w:t xml:space="preserve">and </w:t>
      </w:r>
      <w:r w:rsidR="006F645F" w:rsidRPr="00753451">
        <w:rPr>
          <w:szCs w:val="24"/>
        </w:rPr>
        <w:t xml:space="preserve"> 9.1</w:t>
      </w:r>
      <w:proofErr w:type="gramEnd"/>
      <w:r w:rsidR="006F645F" w:rsidRPr="00753451">
        <w:rPr>
          <w:szCs w:val="24"/>
        </w:rPr>
        <w:t xml:space="preserve"> percent of their foreign employee compensation</w:t>
      </w:r>
      <w:r w:rsidR="00D61D5F">
        <w:rPr>
          <w:szCs w:val="24"/>
        </w:rPr>
        <w:t xml:space="preserve">. </w:t>
      </w:r>
      <w:r w:rsidR="006F645F" w:rsidRPr="00753451">
        <w:rPr>
          <w:szCs w:val="24"/>
        </w:rPr>
        <w:t xml:space="preserve"> </w:t>
      </w:r>
      <w:commentRangeEnd w:id="7"/>
      <w:r w:rsidR="007C3E39">
        <w:rPr>
          <w:rStyle w:val="CommentReference"/>
        </w:rPr>
        <w:commentReference w:id="7"/>
      </w:r>
      <w:commentRangeEnd w:id="8"/>
      <w:r w:rsidR="00886DA7">
        <w:rPr>
          <w:rStyle w:val="CommentReference"/>
        </w:rPr>
        <w:commentReference w:id="8"/>
      </w:r>
      <w:commentRangeEnd w:id="9"/>
      <w:r w:rsidR="008062B4">
        <w:rPr>
          <w:rStyle w:val="CommentReference"/>
        </w:rPr>
        <w:commentReference w:id="9"/>
      </w:r>
      <w:commentRangeEnd w:id="10"/>
      <w:r w:rsidR="009828ED">
        <w:rPr>
          <w:rStyle w:val="CommentReference"/>
        </w:rPr>
        <w:commentReference w:id="10"/>
      </w:r>
      <w:r>
        <w:rPr>
          <w:szCs w:val="24"/>
        </w:rPr>
        <w:t>F</w:t>
      </w:r>
      <w:r w:rsidR="006F645F" w:rsidRPr="00753451">
        <w:rPr>
          <w:szCs w:val="24"/>
        </w:rPr>
        <w:t xml:space="preserve">irms reported large portions of their total foreign incomes </w:t>
      </w:r>
      <w:r w:rsidR="00A0343E">
        <w:rPr>
          <w:szCs w:val="24"/>
        </w:rPr>
        <w:t>were</w:t>
      </w:r>
      <w:r w:rsidR="006F645F" w:rsidRPr="00753451">
        <w:rPr>
          <w:szCs w:val="24"/>
        </w:rPr>
        <w:t xml:space="preserve"> earned </w:t>
      </w:r>
      <w:r>
        <w:rPr>
          <w:szCs w:val="24"/>
        </w:rPr>
        <w:t xml:space="preserve">in tax havens </w:t>
      </w:r>
      <w:r w:rsidR="006F645F" w:rsidRPr="00753451">
        <w:rPr>
          <w:szCs w:val="24"/>
        </w:rPr>
        <w:t xml:space="preserve">though the nature of accounting data and the use of tax haven holding </w:t>
      </w:r>
      <w:bookmarkStart w:id="11" w:name="_GoBack"/>
      <w:bookmarkEnd w:id="11"/>
      <w:r w:rsidR="006F645F" w:rsidRPr="00753451">
        <w:rPr>
          <w:szCs w:val="24"/>
        </w:rPr>
        <w:t>companies make these income figures notoriously difficult to interpret</w:t>
      </w:r>
      <w:r>
        <w:rPr>
          <w:szCs w:val="24"/>
        </w:rPr>
        <w:t>.</w:t>
      </w:r>
    </w:p>
    <w:p w14:paraId="14F91A12" w14:textId="3AEA5559" w:rsidR="006F645F" w:rsidRPr="00753451" w:rsidRDefault="006F645F" w:rsidP="00D61D5F">
      <w:pPr>
        <w:spacing w:line="480" w:lineRule="auto"/>
        <w:ind w:firstLine="720"/>
        <w:rPr>
          <w:szCs w:val="24"/>
        </w:rPr>
      </w:pPr>
      <w:r w:rsidRPr="00753451">
        <w:rPr>
          <w:szCs w:val="24"/>
        </w:rPr>
        <w:lastRenderedPageBreak/>
        <w:t>In 1982, 41 percent of U.S. multinational firms had one or more affiliates in tax haven countrie</w:t>
      </w:r>
      <w:r w:rsidR="0047604D">
        <w:rPr>
          <w:szCs w:val="24"/>
        </w:rPr>
        <w:t>s</w:t>
      </w:r>
      <w:r w:rsidR="00DF14FE">
        <w:rPr>
          <w:szCs w:val="24"/>
        </w:rPr>
        <w:t xml:space="preserve">, </w:t>
      </w:r>
      <w:r w:rsidR="00E36715">
        <w:rPr>
          <w:szCs w:val="24"/>
        </w:rPr>
        <w:t>whereas in</w:t>
      </w:r>
      <w:r w:rsidR="00DF14FE">
        <w:rPr>
          <w:szCs w:val="24"/>
        </w:rPr>
        <w:t xml:space="preserve"> 2014, 50 percent did. </w:t>
      </w:r>
      <w:r w:rsidRPr="00753451">
        <w:rPr>
          <w:szCs w:val="24"/>
        </w:rPr>
        <w:t xml:space="preserve"> Since the small economic footprints of these jurisdictions make them very unlikely to attract so many multinational firms in the absence of tax incentives, </w:t>
      </w:r>
      <w:r w:rsidR="00DF14FE">
        <w:rPr>
          <w:szCs w:val="24"/>
        </w:rPr>
        <w:t>this</w:t>
      </w:r>
      <w:r w:rsidRPr="00753451">
        <w:rPr>
          <w:szCs w:val="24"/>
        </w:rPr>
        <w:t xml:space="preserve"> is consistent with other evidence of increasing tax avoidance. </w:t>
      </w:r>
    </w:p>
    <w:p w14:paraId="4AB7A1E8" w14:textId="012549BF" w:rsidR="0047604D" w:rsidRDefault="00DF14FE" w:rsidP="008416AD">
      <w:pPr>
        <w:spacing w:line="480" w:lineRule="auto"/>
        <w:ind w:firstLine="720"/>
        <w:rPr>
          <w:szCs w:val="24"/>
        </w:rPr>
      </w:pPr>
      <w:r>
        <w:rPr>
          <w:szCs w:val="24"/>
        </w:rPr>
        <w:t>A</w:t>
      </w:r>
      <w:r w:rsidR="00D61D5F" w:rsidRPr="00753451">
        <w:rPr>
          <w:szCs w:val="24"/>
        </w:rPr>
        <w:t xml:space="preserve">verage tax rates paid by U.S. </w:t>
      </w:r>
      <w:r w:rsidR="00D61D5F">
        <w:rPr>
          <w:szCs w:val="24"/>
        </w:rPr>
        <w:t xml:space="preserve"> MNCs</w:t>
      </w:r>
      <w:r w:rsidR="00D61D5F" w:rsidRPr="00753451">
        <w:rPr>
          <w:szCs w:val="24"/>
        </w:rPr>
        <w:t xml:space="preserve"> and </w:t>
      </w:r>
      <w:r w:rsidR="00D61D5F">
        <w:rPr>
          <w:szCs w:val="24"/>
        </w:rPr>
        <w:t xml:space="preserve">those </w:t>
      </w:r>
      <w:r w:rsidR="00D61D5F" w:rsidRPr="00753451">
        <w:rPr>
          <w:szCs w:val="24"/>
        </w:rPr>
        <w:t>headquartered in other countries have declined over time, provoking concern for government finances and tax fairness, and political ire</w:t>
      </w:r>
      <w:r w:rsidR="00D61D5F">
        <w:rPr>
          <w:szCs w:val="24"/>
        </w:rPr>
        <w:t xml:space="preserve">.  </w:t>
      </w:r>
      <w:r w:rsidR="006F645F" w:rsidRPr="00753451">
        <w:rPr>
          <w:szCs w:val="24"/>
        </w:rPr>
        <w:t xml:space="preserve">At least in part, this reflects </w:t>
      </w:r>
      <w:r w:rsidR="00D61D5F">
        <w:rPr>
          <w:szCs w:val="24"/>
        </w:rPr>
        <w:t>declines in</w:t>
      </w:r>
      <w:r w:rsidR="00A0343E">
        <w:rPr>
          <w:szCs w:val="24"/>
        </w:rPr>
        <w:t xml:space="preserve"> overall</w:t>
      </w:r>
      <w:r w:rsidR="00D61D5F">
        <w:rPr>
          <w:szCs w:val="24"/>
        </w:rPr>
        <w:t xml:space="preserve"> </w:t>
      </w:r>
      <w:r w:rsidR="006F645F" w:rsidRPr="00753451">
        <w:rPr>
          <w:szCs w:val="24"/>
        </w:rPr>
        <w:t xml:space="preserve">corporate tax rates over the last </w:t>
      </w:r>
      <w:r w:rsidR="00D61D5F">
        <w:rPr>
          <w:szCs w:val="24"/>
        </w:rPr>
        <w:t xml:space="preserve">40 </w:t>
      </w:r>
      <w:r w:rsidR="006F645F" w:rsidRPr="00753451">
        <w:rPr>
          <w:szCs w:val="24"/>
        </w:rPr>
        <w:t>years</w:t>
      </w:r>
      <w:r w:rsidR="00D61D5F">
        <w:rPr>
          <w:szCs w:val="24"/>
        </w:rPr>
        <w:t xml:space="preserve">. </w:t>
      </w:r>
      <w:r w:rsidR="006F645F" w:rsidRPr="00753451">
        <w:rPr>
          <w:szCs w:val="24"/>
        </w:rPr>
        <w:t xml:space="preserve"> </w:t>
      </w:r>
      <w:r w:rsidR="00D61D5F">
        <w:rPr>
          <w:szCs w:val="24"/>
        </w:rPr>
        <w:t>T</w:t>
      </w:r>
      <w:r w:rsidR="006F645F" w:rsidRPr="00753451">
        <w:rPr>
          <w:szCs w:val="24"/>
        </w:rPr>
        <w:t xml:space="preserve">he tendency of multinational firms to seek locations with low tax rates accelerates this trend. </w:t>
      </w:r>
      <w:proofErr w:type="spellStart"/>
      <w:r w:rsidR="00350F4A">
        <w:rPr>
          <w:szCs w:val="24"/>
        </w:rPr>
        <w:t>Corprations</w:t>
      </w:r>
      <w:proofErr w:type="spellEnd"/>
      <w:r w:rsidR="00350F4A">
        <w:rPr>
          <w:szCs w:val="24"/>
        </w:rPr>
        <w:t xml:space="preserve"> can </w:t>
      </w:r>
      <w:r w:rsidR="00AE2BE9">
        <w:rPr>
          <w:szCs w:val="24"/>
        </w:rPr>
        <w:t xml:space="preserve">and do </w:t>
      </w:r>
      <w:r w:rsidR="006F645F" w:rsidRPr="00753451">
        <w:rPr>
          <w:szCs w:val="24"/>
        </w:rPr>
        <w:t xml:space="preserve">seek tax reductions without relocating, by appealing to governments for rate reductions or by engaging in tax reductions through financial maneuvers. </w:t>
      </w:r>
    </w:p>
    <w:p w14:paraId="5DA23E5C" w14:textId="77777777" w:rsidR="008A29E8" w:rsidRDefault="008A29E8">
      <w:pPr>
        <w:rPr>
          <w:szCs w:val="24"/>
        </w:rPr>
      </w:pPr>
    </w:p>
    <w:p w14:paraId="4DBAC0EC" w14:textId="77777777" w:rsidR="008A29E8" w:rsidRPr="0092408E" w:rsidRDefault="008A29E8" w:rsidP="008A29E8">
      <w:pPr>
        <w:spacing w:line="480" w:lineRule="auto"/>
        <w:rPr>
          <w:szCs w:val="24"/>
        </w:rPr>
      </w:pPr>
    </w:p>
    <w:p w14:paraId="1087F2B5" w14:textId="77777777" w:rsidR="008A29E8" w:rsidRPr="0092408E" w:rsidRDefault="008A29E8" w:rsidP="008A29E8">
      <w:pPr>
        <w:pStyle w:val="BodyTextIndent2"/>
        <w:spacing w:before="0"/>
        <w:ind w:firstLine="0"/>
        <w:rPr>
          <w:bCs/>
          <w:i/>
          <w:iCs/>
          <w:szCs w:val="24"/>
        </w:rPr>
      </w:pPr>
      <w:r w:rsidRPr="0092408E">
        <w:rPr>
          <w:bCs/>
          <w:i/>
          <w:iCs/>
          <w:szCs w:val="24"/>
        </w:rPr>
        <w:t>The past and future of multinational activity</w:t>
      </w:r>
    </w:p>
    <w:p w14:paraId="4A76BC7B" w14:textId="3F166507" w:rsidR="008A29E8" w:rsidRPr="0092408E" w:rsidRDefault="00E26C89" w:rsidP="008A29E8">
      <w:pPr>
        <w:pStyle w:val="BodyTextIndent2"/>
        <w:spacing w:before="0"/>
        <w:rPr>
          <w:szCs w:val="24"/>
        </w:rPr>
      </w:pPr>
      <w:r>
        <w:rPr>
          <w:szCs w:val="24"/>
        </w:rPr>
        <w:t xml:space="preserve">The </w:t>
      </w:r>
      <w:r w:rsidR="008A29E8" w:rsidRPr="0092408E">
        <w:rPr>
          <w:szCs w:val="24"/>
        </w:rPr>
        <w:t xml:space="preserve">1978 </w:t>
      </w:r>
      <w:proofErr w:type="gramStart"/>
      <w:r w:rsidR="008A29E8" w:rsidRPr="0092408E">
        <w:rPr>
          <w:szCs w:val="24"/>
        </w:rPr>
        <w:t>volum</w:t>
      </w:r>
      <w:r>
        <w:rPr>
          <w:szCs w:val="24"/>
        </w:rPr>
        <w:t xml:space="preserve">e  </w:t>
      </w:r>
      <w:r w:rsidR="008A29E8" w:rsidRPr="0092408E">
        <w:rPr>
          <w:szCs w:val="24"/>
        </w:rPr>
        <w:t>noted</w:t>
      </w:r>
      <w:proofErr w:type="gramEnd"/>
      <w:r w:rsidR="008A29E8" w:rsidRPr="0092408E">
        <w:rPr>
          <w:szCs w:val="24"/>
        </w:rPr>
        <w:t xml:space="preserve"> that, at that time, answering policy-relevant questions about multinationals was frustrated by inadequate data, inappropriate theories and analytical methods, and complex interactions between the economics and politics of foreign investment. Since that time, the expanded availability of data on multinational companies from surveys conducted by the U.S. Bureau of Economic Analysis and other national statistical agencies, access to the underlying microdata, and the resulting academic research has brought to light many important findings, including many of those summarized in </w:t>
      </w:r>
      <w:r w:rsidR="0005530D">
        <w:rPr>
          <w:szCs w:val="24"/>
        </w:rPr>
        <w:t>our</w:t>
      </w:r>
      <w:r w:rsidR="008A29E8" w:rsidRPr="0092408E">
        <w:rPr>
          <w:szCs w:val="24"/>
        </w:rPr>
        <w:t xml:space="preserve"> volume. </w:t>
      </w:r>
    </w:p>
    <w:p w14:paraId="48299366" w14:textId="77777777" w:rsidR="008A29E8" w:rsidRPr="0092408E" w:rsidRDefault="008A29E8" w:rsidP="008A29E8">
      <w:pPr>
        <w:pStyle w:val="BodyTextIndent2"/>
        <w:spacing w:before="0"/>
        <w:rPr>
          <w:szCs w:val="24"/>
        </w:rPr>
      </w:pPr>
      <w:r w:rsidRPr="0092408E">
        <w:rPr>
          <w:szCs w:val="24"/>
        </w:rPr>
        <w:t xml:space="preserve">Multinational firms are large, and they are important contributors to modern economies. The same was true in 1978, and it is instructive to consider why it is that over the course of the intervening years multinational firms neither expanded to occupy all of the space in the economy nor shrank under the weight of their own costs. It seems that the costs and benefits of </w:t>
      </w:r>
      <w:r w:rsidRPr="0092408E">
        <w:rPr>
          <w:szCs w:val="24"/>
        </w:rPr>
        <w:lastRenderedPageBreak/>
        <w:t>multinational operations make them properly suited for certain types of business activities and not others. These activities are focused in manufacturing, mining, and trade-related industries, and in those that rely heavily on intellectual property produced by research and development. While the scale and profitability of multinational firms makes them ferocious potential competitors in factor markets, for other firms, and even for national governments, the history of recent decades is that dire predictions of unwanted consequences of their actions largely have not come true.</w:t>
      </w:r>
    </w:p>
    <w:p w14:paraId="4CF16CDE" w14:textId="592E8DCA" w:rsidR="0047604D" w:rsidRDefault="0047604D">
      <w:pPr>
        <w:rPr>
          <w:szCs w:val="24"/>
        </w:rPr>
      </w:pPr>
    </w:p>
    <w:p w14:paraId="4A529079" w14:textId="77777777" w:rsidR="00BC7A0F" w:rsidRPr="00753451" w:rsidRDefault="00BC7A0F" w:rsidP="008416AD">
      <w:pPr>
        <w:spacing w:line="480" w:lineRule="auto"/>
        <w:ind w:firstLine="720"/>
        <w:rPr>
          <w:szCs w:val="24"/>
        </w:rPr>
      </w:pPr>
    </w:p>
    <w:p w14:paraId="4B29074B" w14:textId="7C16ABFF" w:rsidR="00350F4A" w:rsidRDefault="00350F4A">
      <w:pPr>
        <w:rPr>
          <w:i/>
          <w:iCs/>
          <w:szCs w:val="24"/>
        </w:rPr>
      </w:pPr>
    </w:p>
    <w:p w14:paraId="0A69621B" w14:textId="19F7EE68" w:rsidR="00D61D5F" w:rsidRPr="00AE08E2" w:rsidRDefault="009F58BA" w:rsidP="00AE08E2">
      <w:pPr>
        <w:rPr>
          <w:i/>
          <w:iCs/>
          <w:szCs w:val="24"/>
        </w:rPr>
      </w:pPr>
      <w:r>
        <w:rPr>
          <w:szCs w:val="24"/>
        </w:rPr>
        <w:t>Contributions by other scholars to</w:t>
      </w:r>
      <w:r w:rsidR="00AE08E2">
        <w:rPr>
          <w:szCs w:val="24"/>
        </w:rPr>
        <w:t xml:space="preserve"> </w:t>
      </w:r>
      <w:r w:rsidR="00AE08E2">
        <w:rPr>
          <w:i/>
          <w:iCs/>
          <w:szCs w:val="24"/>
        </w:rPr>
        <w:t>Global Goliaths</w:t>
      </w:r>
      <w:r w:rsidRPr="008829AA">
        <w:rPr>
          <w:iCs/>
          <w:szCs w:val="24"/>
        </w:rPr>
        <w:t xml:space="preserve"> include</w:t>
      </w:r>
      <w:r>
        <w:rPr>
          <w:iCs/>
          <w:szCs w:val="24"/>
        </w:rPr>
        <w:t xml:space="preserve"> the following chapters</w:t>
      </w:r>
      <w:r w:rsidR="00AE08E2" w:rsidRPr="008829AA">
        <w:rPr>
          <w:iCs/>
          <w:szCs w:val="24"/>
        </w:rPr>
        <w:t>.</w:t>
      </w:r>
    </w:p>
    <w:p w14:paraId="071D3A7C" w14:textId="77777777" w:rsidR="00D61D5F" w:rsidRDefault="00D61D5F" w:rsidP="004D23DA">
      <w:pPr>
        <w:ind w:left="1440" w:hanging="1440"/>
        <w:rPr>
          <w:szCs w:val="24"/>
        </w:rPr>
      </w:pPr>
    </w:p>
    <w:p w14:paraId="0AC18F0B" w14:textId="77777777" w:rsidR="00D61D5F" w:rsidRDefault="00D61D5F" w:rsidP="004D23DA">
      <w:pPr>
        <w:ind w:left="1440" w:hanging="1440"/>
        <w:rPr>
          <w:szCs w:val="24"/>
        </w:rPr>
      </w:pPr>
    </w:p>
    <w:p w14:paraId="385BD916" w14:textId="07595FEC" w:rsidR="004D23DA" w:rsidRPr="00753451" w:rsidRDefault="004D23DA" w:rsidP="004D23DA">
      <w:pPr>
        <w:ind w:left="1440" w:hanging="1440"/>
        <w:rPr>
          <w:b/>
          <w:szCs w:val="24"/>
        </w:rPr>
      </w:pPr>
      <w:r w:rsidRPr="00753451">
        <w:rPr>
          <w:szCs w:val="24"/>
        </w:rPr>
        <w:t xml:space="preserve">Chapter 2:  </w:t>
      </w:r>
      <w:r w:rsidRPr="00753451">
        <w:rPr>
          <w:b/>
          <w:szCs w:val="24"/>
        </w:rPr>
        <w:t xml:space="preserve">The structure of multinational firms’ international activities. </w:t>
      </w:r>
    </w:p>
    <w:p w14:paraId="4C984684" w14:textId="441670A5" w:rsidR="004D23DA" w:rsidRPr="00753451" w:rsidRDefault="004D23DA" w:rsidP="004D23DA">
      <w:pPr>
        <w:ind w:left="1440" w:hanging="720"/>
        <w:rPr>
          <w:rStyle w:val="Emphasis"/>
          <w:i w:val="0"/>
          <w:iCs w:val="0"/>
          <w:szCs w:val="24"/>
          <w:shd w:val="clear" w:color="auto" w:fill="FFFFFF"/>
        </w:rPr>
      </w:pPr>
      <w:r w:rsidRPr="00753451">
        <w:rPr>
          <w:szCs w:val="24"/>
        </w:rPr>
        <w:t>R</w:t>
      </w:r>
      <w:r w:rsidRPr="00753451">
        <w:rPr>
          <w:rStyle w:val="Emphasis"/>
          <w:i w:val="0"/>
          <w:iCs w:val="0"/>
          <w:szCs w:val="24"/>
          <w:shd w:val="clear" w:color="auto" w:fill="FFFFFF"/>
        </w:rPr>
        <w:t>onald B. Davies (University College Dublin)</w:t>
      </w:r>
    </w:p>
    <w:p w14:paraId="7E18E424" w14:textId="77777777" w:rsidR="004D23DA" w:rsidRPr="00753451" w:rsidRDefault="004D23DA" w:rsidP="004D23DA">
      <w:pPr>
        <w:spacing w:line="480" w:lineRule="auto"/>
        <w:ind w:firstLine="720"/>
        <w:rPr>
          <w:szCs w:val="24"/>
        </w:rPr>
      </w:pPr>
      <w:r w:rsidRPr="00753451">
        <w:rPr>
          <w:rStyle w:val="Emphasis"/>
          <w:i w:val="0"/>
          <w:iCs w:val="0"/>
          <w:szCs w:val="24"/>
          <w:shd w:val="clear" w:color="auto" w:fill="FFFFFF"/>
        </w:rPr>
        <w:t xml:space="preserve">James R. </w:t>
      </w:r>
      <w:proofErr w:type="spellStart"/>
      <w:r w:rsidRPr="00753451">
        <w:rPr>
          <w:rStyle w:val="Emphasis"/>
          <w:i w:val="0"/>
          <w:iCs w:val="0"/>
          <w:szCs w:val="24"/>
          <w:shd w:val="clear" w:color="auto" w:fill="FFFFFF"/>
        </w:rPr>
        <w:t>Markusen</w:t>
      </w:r>
      <w:proofErr w:type="spellEnd"/>
      <w:r w:rsidRPr="00753451">
        <w:rPr>
          <w:rStyle w:val="Emphasis"/>
          <w:i w:val="0"/>
          <w:iCs w:val="0"/>
          <w:szCs w:val="24"/>
          <w:shd w:val="clear" w:color="auto" w:fill="FFFFFF"/>
        </w:rPr>
        <w:t xml:space="preserve"> (University of Colorado, </w:t>
      </w:r>
      <w:proofErr w:type="gramStart"/>
      <w:r w:rsidRPr="00753451">
        <w:rPr>
          <w:rStyle w:val="Emphasis"/>
          <w:i w:val="0"/>
          <w:iCs w:val="0"/>
          <w:szCs w:val="24"/>
          <w:shd w:val="clear" w:color="auto" w:fill="FFFFFF"/>
        </w:rPr>
        <w:t>Boulder</w:t>
      </w:r>
      <w:r w:rsidR="00C8424A" w:rsidRPr="00753451">
        <w:rPr>
          <w:szCs w:val="24"/>
        </w:rPr>
        <w:t xml:space="preserve"> </w:t>
      </w:r>
      <w:r w:rsidRPr="00753451">
        <w:rPr>
          <w:szCs w:val="24"/>
        </w:rPr>
        <w:t>)</w:t>
      </w:r>
      <w:proofErr w:type="gramEnd"/>
    </w:p>
    <w:p w14:paraId="491974CE" w14:textId="6C724520" w:rsidR="006F645F" w:rsidRDefault="004D23DA" w:rsidP="004D23DA">
      <w:pPr>
        <w:spacing w:line="480" w:lineRule="auto"/>
        <w:ind w:firstLine="720"/>
        <w:rPr>
          <w:szCs w:val="24"/>
        </w:rPr>
      </w:pPr>
      <w:r w:rsidRPr="00753451">
        <w:rPr>
          <w:szCs w:val="24"/>
        </w:rPr>
        <w:t>This chapter identifies</w:t>
      </w:r>
      <w:r w:rsidR="00C8424A" w:rsidRPr="00753451">
        <w:rPr>
          <w:szCs w:val="24"/>
        </w:rPr>
        <w:t xml:space="preserve"> </w:t>
      </w:r>
      <w:r w:rsidR="006F645F" w:rsidRPr="00753451">
        <w:rPr>
          <w:szCs w:val="24"/>
        </w:rPr>
        <w:t>factors such as labor market conditions, the availability of capital, and tax considerations that explain the use of different organizational forms</w:t>
      </w:r>
      <w:r w:rsidR="00DF14FE">
        <w:rPr>
          <w:szCs w:val="24"/>
        </w:rPr>
        <w:t>, find</w:t>
      </w:r>
      <w:r w:rsidR="009F58BA">
        <w:rPr>
          <w:szCs w:val="24"/>
        </w:rPr>
        <w:t>ing</w:t>
      </w:r>
      <w:r w:rsidR="00DF14FE">
        <w:rPr>
          <w:szCs w:val="24"/>
        </w:rPr>
        <w:t xml:space="preserve"> that</w:t>
      </w:r>
      <w:r w:rsidR="006F645F" w:rsidRPr="00753451">
        <w:rPr>
          <w:szCs w:val="24"/>
        </w:rPr>
        <w:t xml:space="preserve"> firms </w:t>
      </w:r>
      <w:r w:rsidR="00DF14FE">
        <w:rPr>
          <w:szCs w:val="24"/>
        </w:rPr>
        <w:t>tend to u</w:t>
      </w:r>
      <w:r w:rsidR="006F645F" w:rsidRPr="00753451">
        <w:rPr>
          <w:szCs w:val="24"/>
        </w:rPr>
        <w:t>ndertake similar activities in multiple locations</w:t>
      </w:r>
      <w:r w:rsidR="009F58BA">
        <w:rPr>
          <w:szCs w:val="24"/>
        </w:rPr>
        <w:t xml:space="preserve">, in </w:t>
      </w:r>
      <w:proofErr w:type="spellStart"/>
      <w:r w:rsidR="009F58BA">
        <w:rPr>
          <w:szCs w:val="24"/>
        </w:rPr>
        <w:t>order</w:t>
      </w:r>
      <w:r w:rsidR="00DF14FE">
        <w:rPr>
          <w:szCs w:val="24"/>
        </w:rPr>
        <w:t>to</w:t>
      </w:r>
      <w:proofErr w:type="spellEnd"/>
      <w:r w:rsidR="00DF14FE">
        <w:rPr>
          <w:szCs w:val="24"/>
        </w:rPr>
        <w:t xml:space="preserve"> serve </w:t>
      </w:r>
      <w:r w:rsidR="007D37B5">
        <w:rPr>
          <w:szCs w:val="24"/>
        </w:rPr>
        <w:t>local customers</w:t>
      </w:r>
      <w:r w:rsidR="009F58BA">
        <w:rPr>
          <w:szCs w:val="24"/>
        </w:rPr>
        <w:t>, rather than</w:t>
      </w:r>
      <w:r w:rsidR="00DF14FE">
        <w:rPr>
          <w:szCs w:val="24"/>
        </w:rPr>
        <w:t xml:space="preserve"> per</w:t>
      </w:r>
      <w:r w:rsidR="009F58BA">
        <w:rPr>
          <w:szCs w:val="24"/>
        </w:rPr>
        <w:t>f</w:t>
      </w:r>
      <w:r w:rsidR="00DF14FE">
        <w:rPr>
          <w:szCs w:val="24"/>
        </w:rPr>
        <w:t>orming different</w:t>
      </w:r>
      <w:r w:rsidR="006F645F" w:rsidRPr="00753451">
        <w:rPr>
          <w:szCs w:val="24"/>
        </w:rPr>
        <w:t xml:space="preserve"> steps of production processes in different locations. </w:t>
      </w:r>
    </w:p>
    <w:p w14:paraId="07E89193" w14:textId="77777777" w:rsidR="009F58BA" w:rsidRPr="00753451" w:rsidRDefault="009F58BA" w:rsidP="004D23DA">
      <w:pPr>
        <w:spacing w:line="480" w:lineRule="auto"/>
        <w:ind w:firstLine="720"/>
        <w:rPr>
          <w:szCs w:val="24"/>
        </w:rPr>
      </w:pPr>
    </w:p>
    <w:p w14:paraId="53DCCE00" w14:textId="679DC295" w:rsidR="004D23DA" w:rsidRPr="00753451" w:rsidRDefault="004D23DA" w:rsidP="004D23DA">
      <w:pPr>
        <w:rPr>
          <w:rStyle w:val="Emphasis"/>
          <w:i w:val="0"/>
          <w:iCs w:val="0"/>
          <w:szCs w:val="24"/>
          <w:shd w:val="clear" w:color="auto" w:fill="FFFFFF"/>
        </w:rPr>
      </w:pPr>
      <w:r w:rsidRPr="00753451">
        <w:rPr>
          <w:b/>
          <w:szCs w:val="24"/>
        </w:rPr>
        <w:t xml:space="preserve">Chapter 3: Multinational firms' market entry and expansion with evidence from Eastern Europe </w:t>
      </w:r>
    </w:p>
    <w:p w14:paraId="58D7B17C" w14:textId="7F1ACF5B" w:rsidR="004D23DA" w:rsidRPr="00753451" w:rsidRDefault="004D23DA" w:rsidP="004D23DA">
      <w:pPr>
        <w:ind w:firstLine="720"/>
        <w:rPr>
          <w:rStyle w:val="Emphasis"/>
          <w:i w:val="0"/>
          <w:iCs w:val="0"/>
          <w:szCs w:val="24"/>
          <w:shd w:val="clear" w:color="auto" w:fill="FFFFFF"/>
        </w:rPr>
      </w:pPr>
      <w:r w:rsidRPr="00753451">
        <w:rPr>
          <w:rStyle w:val="Emphasis"/>
          <w:i w:val="0"/>
          <w:iCs w:val="0"/>
          <w:szCs w:val="24"/>
          <w:shd w:val="clear" w:color="auto" w:fill="FFFFFF"/>
        </w:rPr>
        <w:t xml:space="preserve"> </w:t>
      </w:r>
      <w:r w:rsidRPr="00753451">
        <w:rPr>
          <w:rStyle w:val="Emphasis"/>
          <w:i w:val="0"/>
          <w:iCs w:val="0"/>
          <w:szCs w:val="24"/>
          <w:shd w:val="clear" w:color="auto" w:fill="FFFFFF"/>
        </w:rPr>
        <w:tab/>
        <w:t>Andrew Bernard (Tuck School of Business</w:t>
      </w:r>
      <w:r w:rsidR="009F58BA">
        <w:rPr>
          <w:rStyle w:val="Emphasis"/>
          <w:i w:val="0"/>
          <w:iCs w:val="0"/>
          <w:szCs w:val="24"/>
          <w:shd w:val="clear" w:color="auto" w:fill="FFFFFF"/>
        </w:rPr>
        <w:t>, Dartmouth College</w:t>
      </w:r>
      <w:r w:rsidRPr="00753451">
        <w:rPr>
          <w:rStyle w:val="Emphasis"/>
          <w:i w:val="0"/>
          <w:iCs w:val="0"/>
          <w:szCs w:val="24"/>
          <w:shd w:val="clear" w:color="auto" w:fill="FFFFFF"/>
        </w:rPr>
        <w:t>)</w:t>
      </w:r>
    </w:p>
    <w:p w14:paraId="65C0D9EE" w14:textId="0E9D46DE" w:rsidR="004D23DA" w:rsidRDefault="004D23DA" w:rsidP="004D23DA">
      <w:pPr>
        <w:ind w:left="1440"/>
        <w:rPr>
          <w:rStyle w:val="Emphasis"/>
          <w:i w:val="0"/>
          <w:iCs w:val="0"/>
          <w:szCs w:val="24"/>
          <w:shd w:val="clear" w:color="auto" w:fill="FFFFFF"/>
        </w:rPr>
      </w:pPr>
      <w:r w:rsidRPr="00753451">
        <w:rPr>
          <w:rStyle w:val="Emphasis"/>
          <w:i w:val="0"/>
          <w:iCs w:val="0"/>
          <w:szCs w:val="24"/>
          <w:shd w:val="clear" w:color="auto" w:fill="FFFFFF"/>
        </w:rPr>
        <w:t xml:space="preserve">Catherine Thomas (London School of </w:t>
      </w:r>
      <w:proofErr w:type="gramStart"/>
      <w:r w:rsidRPr="00753451">
        <w:rPr>
          <w:rStyle w:val="Emphasis"/>
          <w:i w:val="0"/>
          <w:iCs w:val="0"/>
          <w:szCs w:val="24"/>
          <w:shd w:val="clear" w:color="auto" w:fill="FFFFFF"/>
        </w:rPr>
        <w:t>Economics )</w:t>
      </w:r>
      <w:proofErr w:type="gramEnd"/>
    </w:p>
    <w:p w14:paraId="42B46D9E" w14:textId="77777777" w:rsidR="00573AD8" w:rsidRPr="00753451" w:rsidRDefault="00573AD8" w:rsidP="004D23DA">
      <w:pPr>
        <w:ind w:left="1440"/>
        <w:rPr>
          <w:rStyle w:val="Emphasis"/>
          <w:i w:val="0"/>
          <w:iCs w:val="0"/>
          <w:szCs w:val="24"/>
          <w:shd w:val="clear" w:color="auto" w:fill="FFFFFF"/>
        </w:rPr>
      </w:pPr>
    </w:p>
    <w:p w14:paraId="70A2CBBD" w14:textId="52706A3E" w:rsidR="006F645F" w:rsidRDefault="006F645F" w:rsidP="008416AD">
      <w:pPr>
        <w:spacing w:line="480" w:lineRule="auto"/>
        <w:ind w:firstLine="720"/>
        <w:rPr>
          <w:rStyle w:val="normaltextrun"/>
          <w:szCs w:val="24"/>
        </w:rPr>
      </w:pPr>
      <w:r w:rsidRPr="00753451">
        <w:rPr>
          <w:rStyle w:val="normaltextrun"/>
          <w:szCs w:val="24"/>
        </w:rPr>
        <w:t xml:space="preserve"> </w:t>
      </w:r>
      <w:r w:rsidR="004D23DA" w:rsidRPr="00753451">
        <w:rPr>
          <w:rStyle w:val="normaltextrun"/>
          <w:szCs w:val="24"/>
        </w:rPr>
        <w:t xml:space="preserve">This chapter </w:t>
      </w:r>
      <w:r w:rsidRPr="00753451">
        <w:rPr>
          <w:rStyle w:val="normaltextrun"/>
          <w:szCs w:val="24"/>
        </w:rPr>
        <w:t xml:space="preserve">explores motivations for corporations to expand across borders and their choices between acquisitions and greenfield investments, with particular attention to decisions </w:t>
      </w:r>
      <w:r w:rsidRPr="00753451">
        <w:rPr>
          <w:rStyle w:val="normaltextrun"/>
          <w:szCs w:val="24"/>
        </w:rPr>
        <w:lastRenderedPageBreak/>
        <w:t xml:space="preserve">that Western European companies made after the fall of the Berlin Wall opened up Eastern Europe. </w:t>
      </w:r>
      <w:r w:rsidR="004D23DA" w:rsidRPr="00753451">
        <w:rPr>
          <w:rStyle w:val="normaltextrun"/>
          <w:szCs w:val="24"/>
        </w:rPr>
        <w:t xml:space="preserve"> </w:t>
      </w:r>
    </w:p>
    <w:p w14:paraId="69D3D838" w14:textId="77777777" w:rsidR="009F58BA" w:rsidRPr="00753451" w:rsidRDefault="009F58BA" w:rsidP="008416AD">
      <w:pPr>
        <w:spacing w:line="480" w:lineRule="auto"/>
        <w:ind w:firstLine="720"/>
        <w:rPr>
          <w:color w:val="000000"/>
          <w:szCs w:val="24"/>
        </w:rPr>
      </w:pPr>
    </w:p>
    <w:p w14:paraId="38A1C79B" w14:textId="77777777" w:rsidR="004D23DA" w:rsidRPr="00753451" w:rsidRDefault="004D23DA" w:rsidP="004D23DA">
      <w:pPr>
        <w:ind w:left="1440" w:hanging="1440"/>
        <w:rPr>
          <w:szCs w:val="24"/>
        </w:rPr>
      </w:pPr>
      <w:r w:rsidRPr="00753451">
        <w:rPr>
          <w:b/>
          <w:szCs w:val="24"/>
        </w:rPr>
        <w:t xml:space="preserve">Chapter 4: </w:t>
      </w:r>
      <w:r w:rsidRPr="00753451">
        <w:rPr>
          <w:b/>
          <w:szCs w:val="24"/>
        </w:rPr>
        <w:tab/>
        <w:t xml:space="preserve">The international market for corporate control </w:t>
      </w:r>
    </w:p>
    <w:p w14:paraId="30559AA7" w14:textId="688A0928" w:rsidR="004D23DA" w:rsidRDefault="004D23DA" w:rsidP="004D23DA">
      <w:pPr>
        <w:ind w:firstLine="720"/>
        <w:rPr>
          <w:rStyle w:val="Emphasis"/>
          <w:i w:val="0"/>
          <w:iCs w:val="0"/>
          <w:szCs w:val="24"/>
          <w:shd w:val="clear" w:color="auto" w:fill="FFFFFF"/>
        </w:rPr>
      </w:pPr>
      <w:r w:rsidRPr="00753451">
        <w:rPr>
          <w:rStyle w:val="Emphasis"/>
          <w:i w:val="0"/>
          <w:iCs w:val="0"/>
          <w:szCs w:val="24"/>
          <w:shd w:val="clear" w:color="auto" w:fill="FFFFFF"/>
        </w:rPr>
        <w:t>Anusha Chari (University of North Carolina, Chapel Hill) </w:t>
      </w:r>
    </w:p>
    <w:p w14:paraId="4291CF4B" w14:textId="77777777" w:rsidR="009F58BA" w:rsidRPr="00753451" w:rsidRDefault="009F58BA" w:rsidP="004D23DA">
      <w:pPr>
        <w:ind w:firstLine="720"/>
        <w:rPr>
          <w:rStyle w:val="Emphasis"/>
          <w:i w:val="0"/>
          <w:iCs w:val="0"/>
          <w:szCs w:val="24"/>
          <w:shd w:val="clear" w:color="auto" w:fill="FFFFFF"/>
        </w:rPr>
      </w:pPr>
    </w:p>
    <w:p w14:paraId="306F07C0" w14:textId="76D2BEEE" w:rsidR="006F645F" w:rsidRPr="00753451" w:rsidRDefault="0018442A" w:rsidP="008416AD">
      <w:pPr>
        <w:spacing w:line="480" w:lineRule="auto"/>
        <w:ind w:firstLine="720"/>
        <w:rPr>
          <w:rStyle w:val="normaltextrun"/>
          <w:szCs w:val="24"/>
        </w:rPr>
      </w:pPr>
      <w:r>
        <w:rPr>
          <w:rStyle w:val="normaltextrun"/>
          <w:szCs w:val="24"/>
        </w:rPr>
        <w:t>C</w:t>
      </w:r>
      <w:r w:rsidR="006F645F" w:rsidRPr="00753451">
        <w:rPr>
          <w:rStyle w:val="normaltextrun"/>
          <w:szCs w:val="24"/>
        </w:rPr>
        <w:t xml:space="preserve">ross-border mergers and acquisitions (M&amp;As), accounted for nearly half of foreign direct investment since the global financial crisis of 2008–09. </w:t>
      </w:r>
      <w:r w:rsidR="004D23DA" w:rsidRPr="00753451">
        <w:rPr>
          <w:rStyle w:val="normaltextrun"/>
          <w:szCs w:val="24"/>
        </w:rPr>
        <w:t xml:space="preserve"> Observing that</w:t>
      </w:r>
      <w:r w:rsidR="006F645F" w:rsidRPr="00753451">
        <w:rPr>
          <w:rStyle w:val="normaltextrun"/>
          <w:szCs w:val="24"/>
        </w:rPr>
        <w:t xml:space="preserve"> M&amp;A activities are concentrated in the United States and a small number of European countries,</w:t>
      </w:r>
      <w:r w:rsidR="004D23DA" w:rsidRPr="00753451">
        <w:rPr>
          <w:rStyle w:val="normaltextrun"/>
          <w:szCs w:val="24"/>
        </w:rPr>
        <w:t xml:space="preserve"> this chapter</w:t>
      </w:r>
      <w:r w:rsidR="006F645F" w:rsidRPr="00753451">
        <w:rPr>
          <w:rStyle w:val="normaltextrun"/>
          <w:szCs w:val="24"/>
        </w:rPr>
        <w:t xml:space="preserve"> examines the incentives for foreign acquisitions, and considers post-acquisition outcomes.</w:t>
      </w:r>
    </w:p>
    <w:p w14:paraId="2EED0085" w14:textId="77777777" w:rsidR="004D23DA" w:rsidRPr="00753451" w:rsidRDefault="004D23DA" w:rsidP="004D23DA">
      <w:pPr>
        <w:ind w:left="1440" w:hanging="1440"/>
        <w:rPr>
          <w:szCs w:val="24"/>
        </w:rPr>
      </w:pPr>
      <w:r w:rsidRPr="00753451">
        <w:rPr>
          <w:b/>
          <w:szCs w:val="24"/>
        </w:rPr>
        <w:t xml:space="preserve">Chapter 5: </w:t>
      </w:r>
      <w:r w:rsidRPr="00753451">
        <w:rPr>
          <w:b/>
          <w:szCs w:val="24"/>
        </w:rPr>
        <w:tab/>
        <w:t>The corporate finance of multinational firms</w:t>
      </w:r>
    </w:p>
    <w:p w14:paraId="2583EF69" w14:textId="0DF3964B" w:rsidR="004D23DA" w:rsidRPr="00753451" w:rsidRDefault="004D23DA" w:rsidP="004D23DA">
      <w:pPr>
        <w:rPr>
          <w:rStyle w:val="Emphasis"/>
          <w:i w:val="0"/>
          <w:iCs w:val="0"/>
          <w:szCs w:val="24"/>
          <w:shd w:val="clear" w:color="auto" w:fill="FFFFFF"/>
        </w:rPr>
      </w:pPr>
      <w:r w:rsidRPr="00753451">
        <w:rPr>
          <w:rStyle w:val="Emphasis"/>
          <w:i w:val="0"/>
          <w:iCs w:val="0"/>
          <w:szCs w:val="24"/>
          <w:shd w:val="clear" w:color="auto" w:fill="FFFFFF"/>
        </w:rPr>
        <w:tab/>
      </w:r>
      <w:r w:rsidRPr="00753451">
        <w:rPr>
          <w:rStyle w:val="Emphasis"/>
          <w:i w:val="0"/>
          <w:iCs w:val="0"/>
          <w:szCs w:val="24"/>
          <w:shd w:val="clear" w:color="auto" w:fill="FFFFFF"/>
        </w:rPr>
        <w:tab/>
        <w:t xml:space="preserve">Isil </w:t>
      </w:r>
      <w:proofErr w:type="spellStart"/>
      <w:r w:rsidRPr="00753451">
        <w:rPr>
          <w:rStyle w:val="Emphasis"/>
          <w:i w:val="0"/>
          <w:iCs w:val="0"/>
          <w:szCs w:val="24"/>
          <w:shd w:val="clear" w:color="auto" w:fill="FFFFFF"/>
        </w:rPr>
        <w:t>Erel</w:t>
      </w:r>
      <w:proofErr w:type="spellEnd"/>
      <w:r w:rsidRPr="00753451">
        <w:rPr>
          <w:rStyle w:val="Emphasis"/>
          <w:i w:val="0"/>
          <w:iCs w:val="0"/>
          <w:szCs w:val="24"/>
          <w:shd w:val="clear" w:color="auto" w:fill="FFFFFF"/>
        </w:rPr>
        <w:t xml:space="preserve"> (Ohio State University)</w:t>
      </w:r>
    </w:p>
    <w:p w14:paraId="51845CD8" w14:textId="77777777" w:rsidR="004D23DA" w:rsidRPr="00753451" w:rsidRDefault="004D23DA" w:rsidP="004D23DA">
      <w:pPr>
        <w:ind w:left="720" w:firstLine="720"/>
        <w:rPr>
          <w:rStyle w:val="Emphasis"/>
          <w:i w:val="0"/>
          <w:iCs w:val="0"/>
          <w:szCs w:val="24"/>
          <w:shd w:val="clear" w:color="auto" w:fill="FFFFFF"/>
        </w:rPr>
      </w:pPr>
      <w:r w:rsidRPr="00753451">
        <w:rPr>
          <w:rStyle w:val="Emphasis"/>
          <w:i w:val="0"/>
          <w:iCs w:val="0"/>
          <w:szCs w:val="24"/>
          <w:shd w:val="clear" w:color="auto" w:fill="FFFFFF"/>
        </w:rPr>
        <w:t>Yeejin Jang (University of New South Wales)</w:t>
      </w:r>
    </w:p>
    <w:p w14:paraId="5DEAB22B" w14:textId="660E4B17" w:rsidR="004D23DA" w:rsidRDefault="004D23DA" w:rsidP="004D23DA">
      <w:pPr>
        <w:ind w:left="720" w:firstLine="720"/>
        <w:rPr>
          <w:rStyle w:val="Emphasis"/>
          <w:i w:val="0"/>
          <w:iCs w:val="0"/>
          <w:szCs w:val="24"/>
          <w:shd w:val="clear" w:color="auto" w:fill="FFFFFF"/>
        </w:rPr>
      </w:pPr>
      <w:r w:rsidRPr="00753451">
        <w:rPr>
          <w:rStyle w:val="Emphasis"/>
          <w:i w:val="0"/>
          <w:iCs w:val="0"/>
          <w:szCs w:val="24"/>
          <w:shd w:val="clear" w:color="auto" w:fill="FFFFFF"/>
        </w:rPr>
        <w:t>Michael Weisbach (Ohio State University)  </w:t>
      </w:r>
    </w:p>
    <w:p w14:paraId="6ECA4609" w14:textId="77777777" w:rsidR="009F58BA" w:rsidRPr="00753451" w:rsidRDefault="009F58BA" w:rsidP="004D23DA">
      <w:pPr>
        <w:ind w:left="720" w:firstLine="720"/>
        <w:rPr>
          <w:rStyle w:val="Emphasis"/>
          <w:i w:val="0"/>
          <w:iCs w:val="0"/>
          <w:szCs w:val="24"/>
          <w:shd w:val="clear" w:color="auto" w:fill="FFFFFF"/>
        </w:rPr>
      </w:pPr>
    </w:p>
    <w:p w14:paraId="2E890E6B" w14:textId="467F19EB" w:rsidR="006F645F" w:rsidRDefault="006F645F" w:rsidP="0018442A">
      <w:pPr>
        <w:spacing w:line="480" w:lineRule="auto"/>
        <w:ind w:firstLine="720"/>
        <w:rPr>
          <w:color w:val="000000"/>
          <w:szCs w:val="24"/>
          <w:shd w:val="clear" w:color="auto" w:fill="FFFFFF"/>
        </w:rPr>
      </w:pPr>
      <w:r w:rsidRPr="00753451">
        <w:rPr>
          <w:color w:val="000000"/>
          <w:szCs w:val="24"/>
          <w:shd w:val="clear" w:color="auto" w:fill="FFFFFF"/>
        </w:rPr>
        <w:t xml:space="preserve"> </w:t>
      </w:r>
      <w:r w:rsidR="007D37B5">
        <w:rPr>
          <w:color w:val="000000"/>
          <w:szCs w:val="24"/>
          <w:shd w:val="clear" w:color="auto" w:fill="FFFFFF"/>
        </w:rPr>
        <w:t xml:space="preserve">This chapter finds </w:t>
      </w:r>
      <w:r w:rsidR="009F58BA">
        <w:rPr>
          <w:color w:val="000000"/>
          <w:szCs w:val="24"/>
          <w:shd w:val="clear" w:color="auto" w:fill="FFFFFF"/>
        </w:rPr>
        <w:t xml:space="preserve">that </w:t>
      </w:r>
      <w:r w:rsidRPr="00753451">
        <w:rPr>
          <w:color w:val="000000"/>
          <w:szCs w:val="24"/>
          <w:shd w:val="clear" w:color="auto" w:fill="FFFFFF"/>
        </w:rPr>
        <w:t>U.S. multinationals hold larger percentages of their assets in cash than</w:t>
      </w:r>
      <w:r w:rsidR="0067125D">
        <w:rPr>
          <w:color w:val="000000"/>
          <w:szCs w:val="24"/>
          <w:shd w:val="clear" w:color="auto" w:fill="FFFFFF"/>
        </w:rPr>
        <w:t xml:space="preserve"> do</w:t>
      </w:r>
      <w:r w:rsidRPr="00753451">
        <w:rPr>
          <w:color w:val="000000"/>
          <w:szCs w:val="24"/>
          <w:shd w:val="clear" w:color="auto" w:fill="FFFFFF"/>
        </w:rPr>
        <w:t xml:space="preserve"> other publicly held firms</w:t>
      </w:r>
      <w:r w:rsidR="0067125D">
        <w:rPr>
          <w:color w:val="000000"/>
          <w:szCs w:val="24"/>
          <w:shd w:val="clear" w:color="auto" w:fill="FFFFFF"/>
        </w:rPr>
        <w:t>, possibly to facilitate tax planning</w:t>
      </w:r>
      <w:r w:rsidR="007D37B5">
        <w:rPr>
          <w:color w:val="000000"/>
          <w:szCs w:val="24"/>
          <w:shd w:val="clear" w:color="auto" w:fill="FFFFFF"/>
        </w:rPr>
        <w:t xml:space="preserve">. </w:t>
      </w:r>
      <w:r w:rsidR="0067125D">
        <w:rPr>
          <w:color w:val="000000"/>
          <w:szCs w:val="24"/>
          <w:shd w:val="clear" w:color="auto" w:fill="FFFFFF"/>
        </w:rPr>
        <w:t xml:space="preserve">MNCs </w:t>
      </w:r>
      <w:proofErr w:type="gramStart"/>
      <w:r w:rsidR="0067125D">
        <w:rPr>
          <w:color w:val="000000"/>
          <w:szCs w:val="24"/>
          <w:shd w:val="clear" w:color="auto" w:fill="FFFFFF"/>
        </w:rPr>
        <w:t>are</w:t>
      </w:r>
      <w:r w:rsidR="007D37B5">
        <w:rPr>
          <w:color w:val="000000"/>
          <w:szCs w:val="24"/>
          <w:shd w:val="clear" w:color="auto" w:fill="FFFFFF"/>
        </w:rPr>
        <w:t xml:space="preserve">  </w:t>
      </w:r>
      <w:r w:rsidRPr="00753451">
        <w:rPr>
          <w:color w:val="000000"/>
          <w:szCs w:val="24"/>
          <w:shd w:val="clear" w:color="auto" w:fill="FFFFFF"/>
        </w:rPr>
        <w:t>less</w:t>
      </w:r>
      <w:proofErr w:type="gramEnd"/>
      <w:r w:rsidRPr="00753451">
        <w:rPr>
          <w:color w:val="000000"/>
          <w:szCs w:val="24"/>
          <w:shd w:val="clear" w:color="auto" w:fill="FFFFFF"/>
        </w:rPr>
        <w:t xml:space="preserve"> likely</w:t>
      </w:r>
      <w:r w:rsidR="0067125D">
        <w:rPr>
          <w:color w:val="000000"/>
          <w:szCs w:val="24"/>
          <w:shd w:val="clear" w:color="auto" w:fill="FFFFFF"/>
        </w:rPr>
        <w:t xml:space="preserve"> than other firms</w:t>
      </w:r>
      <w:r w:rsidRPr="00753451">
        <w:rPr>
          <w:color w:val="000000"/>
          <w:szCs w:val="24"/>
          <w:shd w:val="clear" w:color="auto" w:fill="FFFFFF"/>
        </w:rPr>
        <w:t xml:space="preserve"> to borrow, </w:t>
      </w:r>
      <w:r w:rsidR="0067125D">
        <w:rPr>
          <w:color w:val="000000"/>
          <w:szCs w:val="24"/>
          <w:shd w:val="clear" w:color="auto" w:fill="FFFFFF"/>
        </w:rPr>
        <w:t>and</w:t>
      </w:r>
      <w:r w:rsidRPr="00753451">
        <w:rPr>
          <w:color w:val="000000"/>
          <w:szCs w:val="24"/>
          <w:shd w:val="clear" w:color="auto" w:fill="FFFFFF"/>
        </w:rPr>
        <w:t xml:space="preserve"> when they d</w:t>
      </w:r>
      <w:r w:rsidR="0067125D">
        <w:rPr>
          <w:color w:val="000000"/>
          <w:szCs w:val="24"/>
          <w:shd w:val="clear" w:color="auto" w:fill="FFFFFF"/>
        </w:rPr>
        <w:t>o</w:t>
      </w:r>
      <w:r w:rsidRPr="00753451">
        <w:rPr>
          <w:color w:val="000000"/>
          <w:szCs w:val="24"/>
          <w:shd w:val="clear" w:color="auto" w:fill="FFFFFF"/>
        </w:rPr>
        <w:t>, they rel</w:t>
      </w:r>
      <w:r w:rsidR="0067125D">
        <w:rPr>
          <w:color w:val="000000"/>
          <w:szCs w:val="24"/>
          <w:shd w:val="clear" w:color="auto" w:fill="FFFFFF"/>
        </w:rPr>
        <w:t>y</w:t>
      </w:r>
      <w:r w:rsidRPr="00753451">
        <w:rPr>
          <w:color w:val="000000"/>
          <w:szCs w:val="24"/>
          <w:shd w:val="clear" w:color="auto" w:fill="FFFFFF"/>
        </w:rPr>
        <w:t xml:space="preserve"> less on banks and more on capital markets</w:t>
      </w:r>
      <w:r w:rsidR="007D37B5">
        <w:rPr>
          <w:color w:val="000000"/>
          <w:szCs w:val="24"/>
          <w:shd w:val="clear" w:color="auto" w:fill="FFFFFF"/>
        </w:rPr>
        <w:t xml:space="preserve">. And </w:t>
      </w:r>
      <w:r w:rsidRPr="00753451">
        <w:rPr>
          <w:color w:val="000000"/>
          <w:szCs w:val="24"/>
          <w:shd w:val="clear" w:color="auto" w:fill="FFFFFF"/>
        </w:rPr>
        <w:t>geographically diverse</w:t>
      </w:r>
      <w:r w:rsidR="0067125D">
        <w:rPr>
          <w:color w:val="000000"/>
          <w:szCs w:val="24"/>
          <w:shd w:val="clear" w:color="auto" w:fill="FFFFFF"/>
        </w:rPr>
        <w:t xml:space="preserve"> MNCs</w:t>
      </w:r>
      <w:r w:rsidRPr="00753451">
        <w:rPr>
          <w:color w:val="000000"/>
          <w:szCs w:val="24"/>
          <w:shd w:val="clear" w:color="auto" w:fill="FFFFFF"/>
        </w:rPr>
        <w:t xml:space="preserve"> generally </w:t>
      </w:r>
      <w:r w:rsidR="0067125D">
        <w:rPr>
          <w:color w:val="000000"/>
          <w:szCs w:val="24"/>
          <w:shd w:val="clear" w:color="auto" w:fill="FFFFFF"/>
        </w:rPr>
        <w:t>enjoy favorable</w:t>
      </w:r>
      <w:r w:rsidRPr="00753451">
        <w:rPr>
          <w:color w:val="000000"/>
          <w:szCs w:val="24"/>
          <w:shd w:val="clear" w:color="auto" w:fill="FFFFFF"/>
        </w:rPr>
        <w:t xml:space="preserve"> borrowing rates. </w:t>
      </w:r>
    </w:p>
    <w:p w14:paraId="3395CD84" w14:textId="77777777" w:rsidR="0067125D" w:rsidRPr="00753451" w:rsidRDefault="0067125D" w:rsidP="0018442A">
      <w:pPr>
        <w:spacing w:line="480" w:lineRule="auto"/>
        <w:ind w:firstLine="720"/>
        <w:rPr>
          <w:color w:val="000000"/>
          <w:szCs w:val="24"/>
          <w:shd w:val="clear" w:color="auto" w:fill="FFFFFF"/>
        </w:rPr>
      </w:pPr>
    </w:p>
    <w:p w14:paraId="4E6082B0" w14:textId="538B0330" w:rsidR="004D23DA" w:rsidRPr="00753451" w:rsidRDefault="004D23DA" w:rsidP="004D23DA">
      <w:pPr>
        <w:ind w:left="1440" w:hanging="720"/>
        <w:rPr>
          <w:b/>
          <w:szCs w:val="24"/>
        </w:rPr>
      </w:pPr>
      <w:r w:rsidRPr="00753451">
        <w:rPr>
          <w:b/>
          <w:szCs w:val="24"/>
        </w:rPr>
        <w:t xml:space="preserve">Chapter 6: </w:t>
      </w:r>
      <w:r w:rsidRPr="00753451">
        <w:rPr>
          <w:b/>
          <w:szCs w:val="24"/>
        </w:rPr>
        <w:tab/>
        <w:t>Do multinational firms export jobs?</w:t>
      </w:r>
    </w:p>
    <w:p w14:paraId="03FBE7C3" w14:textId="652F696F" w:rsidR="004D23DA" w:rsidRDefault="004D23DA" w:rsidP="004D23DA">
      <w:pPr>
        <w:spacing w:line="480" w:lineRule="auto"/>
        <w:ind w:firstLine="720"/>
        <w:rPr>
          <w:rStyle w:val="Emphasis"/>
          <w:i w:val="0"/>
          <w:iCs w:val="0"/>
          <w:szCs w:val="24"/>
          <w:shd w:val="clear" w:color="auto" w:fill="FFFFFF"/>
        </w:rPr>
      </w:pPr>
      <w:r w:rsidRPr="00753451">
        <w:rPr>
          <w:rStyle w:val="Emphasis"/>
          <w:i w:val="0"/>
          <w:iCs w:val="0"/>
          <w:szCs w:val="24"/>
          <w:shd w:val="clear" w:color="auto" w:fill="FFFFFF"/>
        </w:rPr>
        <w:t>Lindsay Oldenski (Georgetown University)  </w:t>
      </w:r>
    </w:p>
    <w:p w14:paraId="14FA0511" w14:textId="77777777" w:rsidR="0067125D" w:rsidRPr="00753451" w:rsidRDefault="0067125D" w:rsidP="008829AA">
      <w:pPr>
        <w:spacing w:line="480" w:lineRule="auto"/>
        <w:rPr>
          <w:color w:val="000000"/>
          <w:szCs w:val="24"/>
          <w:shd w:val="clear" w:color="auto" w:fill="FFFFFF"/>
        </w:rPr>
      </w:pPr>
    </w:p>
    <w:p w14:paraId="5AFAE527" w14:textId="2FF9F4C8" w:rsidR="006F645F" w:rsidRDefault="006F645F" w:rsidP="004D23DA">
      <w:pPr>
        <w:pStyle w:val="paragraph"/>
        <w:spacing w:before="0" w:beforeAutospacing="0" w:after="0" w:afterAutospacing="0" w:line="480" w:lineRule="auto"/>
        <w:textAlignment w:val="baseline"/>
        <w:rPr>
          <w:color w:val="000000"/>
          <w:shd w:val="clear" w:color="auto" w:fill="FFFFFF"/>
        </w:rPr>
      </w:pPr>
      <w:r w:rsidRPr="00753451">
        <w:t xml:space="preserve"> </w:t>
      </w:r>
      <w:r w:rsidR="00753451" w:rsidRPr="00753451">
        <w:tab/>
      </w:r>
      <w:r w:rsidRPr="00753451">
        <w:rPr>
          <w:color w:val="000000"/>
          <w:shd w:val="clear" w:color="auto" w:fill="FFFFFF"/>
        </w:rPr>
        <w:t>Do multinational firms export jobs? Th</w:t>
      </w:r>
      <w:r w:rsidR="004D23DA" w:rsidRPr="00753451">
        <w:rPr>
          <w:color w:val="000000"/>
          <w:shd w:val="clear" w:color="auto" w:fill="FFFFFF"/>
        </w:rPr>
        <w:t>e</w:t>
      </w:r>
      <w:r w:rsidRPr="00753451">
        <w:rPr>
          <w:color w:val="000000"/>
          <w:shd w:val="clear" w:color="auto" w:fill="FFFFFF"/>
        </w:rPr>
        <w:t xml:space="preserve"> answer is a definite yes</w:t>
      </w:r>
      <w:r w:rsidR="007D37B5">
        <w:rPr>
          <w:color w:val="000000"/>
          <w:shd w:val="clear" w:color="auto" w:fill="FFFFFF"/>
        </w:rPr>
        <w:t>, but this chapter finds</w:t>
      </w:r>
      <w:r w:rsidR="0067125D">
        <w:rPr>
          <w:color w:val="000000"/>
          <w:shd w:val="clear" w:color="auto" w:fill="FFFFFF"/>
        </w:rPr>
        <w:t xml:space="preserve"> that MNC foreign operations also create jobs at home, so</w:t>
      </w:r>
      <w:r w:rsidR="007D37B5">
        <w:rPr>
          <w:color w:val="000000"/>
          <w:shd w:val="clear" w:color="auto" w:fill="FFFFFF"/>
        </w:rPr>
        <w:t xml:space="preserve"> the </w:t>
      </w:r>
      <w:r w:rsidRPr="00753451">
        <w:rPr>
          <w:color w:val="000000"/>
          <w:shd w:val="clear" w:color="auto" w:fill="FFFFFF"/>
        </w:rPr>
        <w:t xml:space="preserve">net effect of MNC offshoring on domestic jobs and wages is close to zero or possibly a small positive. In general, less educated </w:t>
      </w:r>
      <w:r w:rsidR="0067125D">
        <w:rPr>
          <w:color w:val="000000"/>
          <w:shd w:val="clear" w:color="auto" w:fill="FFFFFF"/>
        </w:rPr>
        <w:t xml:space="preserve">domestic </w:t>
      </w:r>
      <w:r w:rsidRPr="00753451">
        <w:rPr>
          <w:color w:val="000000"/>
          <w:shd w:val="clear" w:color="auto" w:fill="FFFFFF"/>
        </w:rPr>
        <w:t>workers and those who perform routine tasks are more likely to experience job losses and reduced wages as a result of offshoring, while more highly educated</w:t>
      </w:r>
      <w:r w:rsidR="0067125D">
        <w:rPr>
          <w:color w:val="000000"/>
          <w:shd w:val="clear" w:color="auto" w:fill="FFFFFF"/>
        </w:rPr>
        <w:t xml:space="preserve"> domestic</w:t>
      </w:r>
      <w:r w:rsidRPr="00753451">
        <w:rPr>
          <w:color w:val="000000"/>
          <w:shd w:val="clear" w:color="auto" w:fill="FFFFFF"/>
        </w:rPr>
        <w:t xml:space="preserve"> workers gain. </w:t>
      </w:r>
    </w:p>
    <w:p w14:paraId="56A114EC" w14:textId="77777777" w:rsidR="0067125D" w:rsidRPr="00753451" w:rsidRDefault="0067125D" w:rsidP="004D23DA">
      <w:pPr>
        <w:pStyle w:val="paragraph"/>
        <w:spacing w:before="0" w:beforeAutospacing="0" w:after="0" w:afterAutospacing="0" w:line="480" w:lineRule="auto"/>
        <w:textAlignment w:val="baseline"/>
        <w:rPr>
          <w:color w:val="000000"/>
          <w:shd w:val="clear" w:color="auto" w:fill="FFFFFF"/>
        </w:rPr>
      </w:pPr>
    </w:p>
    <w:p w14:paraId="6001BBB0" w14:textId="69A84DA2" w:rsidR="00753451" w:rsidRPr="00753451" w:rsidRDefault="00753451" w:rsidP="00753451">
      <w:pPr>
        <w:ind w:left="1440" w:hanging="720"/>
        <w:rPr>
          <w:b/>
          <w:szCs w:val="24"/>
        </w:rPr>
      </w:pPr>
      <w:r w:rsidRPr="00753451">
        <w:rPr>
          <w:b/>
          <w:szCs w:val="24"/>
        </w:rPr>
        <w:t xml:space="preserve">Chapter 7: </w:t>
      </w:r>
      <w:r w:rsidRPr="00753451">
        <w:rPr>
          <w:b/>
          <w:szCs w:val="24"/>
        </w:rPr>
        <w:tab/>
        <w:t>Do multinational corporations exploit foreign workers?</w:t>
      </w:r>
    </w:p>
    <w:p w14:paraId="3D8A2D46" w14:textId="77777777" w:rsidR="00753451" w:rsidRPr="00753451" w:rsidRDefault="00753451" w:rsidP="00753451">
      <w:pPr>
        <w:ind w:left="1440" w:hanging="1440"/>
        <w:rPr>
          <w:b/>
          <w:szCs w:val="24"/>
        </w:rPr>
      </w:pPr>
    </w:p>
    <w:p w14:paraId="78F7A434" w14:textId="6CBFBC09" w:rsidR="00753451" w:rsidRPr="00753451" w:rsidRDefault="00753451" w:rsidP="00753451">
      <w:pPr>
        <w:rPr>
          <w:rStyle w:val="Emphasis"/>
          <w:i w:val="0"/>
          <w:iCs w:val="0"/>
          <w:szCs w:val="24"/>
          <w:shd w:val="clear" w:color="auto" w:fill="FFFFFF"/>
        </w:rPr>
      </w:pPr>
      <w:r w:rsidRPr="00753451">
        <w:rPr>
          <w:rStyle w:val="Emphasis"/>
          <w:i w:val="0"/>
          <w:iCs w:val="0"/>
          <w:szCs w:val="24"/>
          <w:shd w:val="clear" w:color="auto" w:fill="FFFFFF"/>
        </w:rPr>
        <w:tab/>
      </w:r>
      <w:r w:rsidRPr="00753451">
        <w:rPr>
          <w:rStyle w:val="Emphasis"/>
          <w:i w:val="0"/>
          <w:iCs w:val="0"/>
          <w:szCs w:val="24"/>
          <w:shd w:val="clear" w:color="auto" w:fill="FFFFFF"/>
        </w:rPr>
        <w:tab/>
        <w:t>Emma Aisbett (Australian National University)</w:t>
      </w:r>
    </w:p>
    <w:p w14:paraId="4F634D8F" w14:textId="5162C388" w:rsidR="00753451" w:rsidRPr="00753451" w:rsidRDefault="00753451" w:rsidP="00753451">
      <w:pPr>
        <w:ind w:left="720" w:firstLine="720"/>
        <w:rPr>
          <w:rStyle w:val="Emphasis"/>
          <w:i w:val="0"/>
          <w:iCs w:val="0"/>
          <w:szCs w:val="24"/>
          <w:shd w:val="clear" w:color="auto" w:fill="FFFFFF"/>
        </w:rPr>
      </w:pPr>
      <w:r w:rsidRPr="00753451">
        <w:rPr>
          <w:rStyle w:val="Emphasis"/>
          <w:i w:val="0"/>
          <w:iCs w:val="0"/>
          <w:szCs w:val="24"/>
          <w:shd w:val="clear" w:color="auto" w:fill="FFFFFF"/>
        </w:rPr>
        <w:t>Ann Harrison (University of California, Berkeley)</w:t>
      </w:r>
    </w:p>
    <w:p w14:paraId="2FA34BBB" w14:textId="54F42A39" w:rsidR="00753451" w:rsidRPr="00753451" w:rsidRDefault="00753451" w:rsidP="00753451">
      <w:pPr>
        <w:ind w:left="720" w:firstLine="720"/>
        <w:rPr>
          <w:rStyle w:val="Emphasis"/>
          <w:i w:val="0"/>
          <w:iCs w:val="0"/>
          <w:szCs w:val="24"/>
          <w:shd w:val="clear" w:color="auto" w:fill="FFFFFF"/>
        </w:rPr>
      </w:pPr>
      <w:r w:rsidRPr="00753451">
        <w:rPr>
          <w:rStyle w:val="Emphasis"/>
          <w:i w:val="0"/>
          <w:iCs w:val="0"/>
          <w:szCs w:val="24"/>
          <w:shd w:val="clear" w:color="auto" w:fill="FFFFFF"/>
        </w:rPr>
        <w:t>David Levine, University of California, Berkeley)</w:t>
      </w:r>
    </w:p>
    <w:p w14:paraId="0FC72F1A" w14:textId="77777777" w:rsidR="00753451" w:rsidRPr="00753451" w:rsidRDefault="00753451" w:rsidP="00753451">
      <w:pPr>
        <w:ind w:left="720" w:firstLine="720"/>
        <w:rPr>
          <w:rStyle w:val="Emphasis"/>
          <w:i w:val="0"/>
          <w:iCs w:val="0"/>
          <w:szCs w:val="24"/>
          <w:shd w:val="clear" w:color="auto" w:fill="FFFFFF"/>
        </w:rPr>
      </w:pPr>
      <w:r w:rsidRPr="00753451">
        <w:rPr>
          <w:rStyle w:val="Emphasis"/>
          <w:i w:val="0"/>
          <w:iCs w:val="0"/>
          <w:szCs w:val="24"/>
          <w:shd w:val="clear" w:color="auto" w:fill="FFFFFF"/>
        </w:rPr>
        <w:t>Jason Scorse (Middlebury Institute of International Studies at Monterey)</w:t>
      </w:r>
    </w:p>
    <w:p w14:paraId="6766A015" w14:textId="334CD0B6" w:rsidR="00753451" w:rsidRPr="00753451" w:rsidRDefault="00753451" w:rsidP="00753451">
      <w:pPr>
        <w:ind w:left="1440"/>
        <w:rPr>
          <w:rStyle w:val="Emphasis"/>
          <w:i w:val="0"/>
          <w:iCs w:val="0"/>
          <w:szCs w:val="24"/>
          <w:shd w:val="clear" w:color="auto" w:fill="FFFFFF"/>
        </w:rPr>
      </w:pPr>
      <w:r w:rsidRPr="00753451">
        <w:rPr>
          <w:rStyle w:val="Emphasis"/>
          <w:i w:val="0"/>
          <w:iCs w:val="0"/>
          <w:szCs w:val="24"/>
          <w:shd w:val="clear" w:color="auto" w:fill="FFFFFF"/>
        </w:rPr>
        <w:t>Jed Silver (University of California, Berkeley)</w:t>
      </w:r>
    </w:p>
    <w:p w14:paraId="2BE8746C" w14:textId="77777777" w:rsidR="00753451" w:rsidRPr="00753451" w:rsidRDefault="00753451" w:rsidP="00753451">
      <w:pPr>
        <w:ind w:left="720" w:firstLine="720"/>
        <w:rPr>
          <w:rStyle w:val="Emphasis"/>
          <w:i w:val="0"/>
          <w:iCs w:val="0"/>
          <w:szCs w:val="24"/>
          <w:shd w:val="clear" w:color="auto" w:fill="FFFFFF"/>
        </w:rPr>
      </w:pPr>
    </w:p>
    <w:p w14:paraId="0397E5FD" w14:textId="29DEA8D8" w:rsidR="00753451" w:rsidRDefault="00753451" w:rsidP="00753451">
      <w:pPr>
        <w:spacing w:line="480" w:lineRule="auto"/>
        <w:ind w:firstLine="720"/>
        <w:rPr>
          <w:szCs w:val="24"/>
        </w:rPr>
      </w:pPr>
      <w:r w:rsidRPr="00753451">
        <w:rPr>
          <w:szCs w:val="24"/>
        </w:rPr>
        <w:t>This chapter</w:t>
      </w:r>
      <w:r w:rsidR="006F645F" w:rsidRPr="00753451">
        <w:rPr>
          <w:szCs w:val="24"/>
        </w:rPr>
        <w:t xml:space="preserve"> considers whether MNCs exploit workers in poor countries, based on three definitions of exploitation: paying below market wages, failing to compensate employees with a fair share of surplus, and violating human rights. The chapter finds almost no evidence of exploitation based on the</w:t>
      </w:r>
      <w:r w:rsidR="007D37B5">
        <w:rPr>
          <w:szCs w:val="24"/>
        </w:rPr>
        <w:t xml:space="preserve"> first two </w:t>
      </w:r>
      <w:r w:rsidR="006F645F" w:rsidRPr="00753451">
        <w:rPr>
          <w:szCs w:val="24"/>
        </w:rPr>
        <w:t>definitions</w:t>
      </w:r>
      <w:r w:rsidR="007D37B5">
        <w:rPr>
          <w:szCs w:val="24"/>
        </w:rPr>
        <w:t xml:space="preserve">, </w:t>
      </w:r>
      <w:proofErr w:type="gramStart"/>
      <w:r w:rsidR="007D37B5">
        <w:rPr>
          <w:szCs w:val="24"/>
        </w:rPr>
        <w:t xml:space="preserve">but </w:t>
      </w:r>
      <w:r w:rsidR="006F645F" w:rsidRPr="00753451">
        <w:rPr>
          <w:szCs w:val="24"/>
        </w:rPr>
        <w:t xml:space="preserve"> reports</w:t>
      </w:r>
      <w:proofErr w:type="gramEnd"/>
      <w:r w:rsidR="006F645F" w:rsidRPr="00753451">
        <w:rPr>
          <w:szCs w:val="24"/>
        </w:rPr>
        <w:t xml:space="preserve"> evidence that MNCs violate basic human rights in poor nations—including discrimination against women and migrant workers, suppression of the right to organize, and poor health and safety conditions</w:t>
      </w:r>
      <w:r w:rsidR="007D37B5">
        <w:rPr>
          <w:szCs w:val="24"/>
        </w:rPr>
        <w:t>.</w:t>
      </w:r>
    </w:p>
    <w:p w14:paraId="23305D82" w14:textId="77777777" w:rsidR="0067125D" w:rsidRPr="00753451" w:rsidRDefault="0067125D" w:rsidP="00753451">
      <w:pPr>
        <w:spacing w:line="480" w:lineRule="auto"/>
        <w:ind w:firstLine="720"/>
        <w:rPr>
          <w:szCs w:val="24"/>
        </w:rPr>
      </w:pPr>
    </w:p>
    <w:p w14:paraId="755EE04A" w14:textId="77777777" w:rsidR="00753451" w:rsidRPr="00753451" w:rsidRDefault="00753451" w:rsidP="00753451">
      <w:pPr>
        <w:rPr>
          <w:szCs w:val="24"/>
        </w:rPr>
      </w:pPr>
      <w:r w:rsidRPr="00753451">
        <w:rPr>
          <w:b/>
          <w:szCs w:val="24"/>
        </w:rPr>
        <w:t xml:space="preserve">Chapter 8: </w:t>
      </w:r>
      <w:r w:rsidRPr="00753451">
        <w:rPr>
          <w:b/>
          <w:szCs w:val="24"/>
        </w:rPr>
        <w:tab/>
        <w:t>The new global invention machine: A look inside the R&amp;D networks of US multinationals</w:t>
      </w:r>
    </w:p>
    <w:p w14:paraId="53CF7EBA" w14:textId="77777777" w:rsidR="00753451" w:rsidRPr="00753451" w:rsidRDefault="00753451" w:rsidP="00753451">
      <w:pPr>
        <w:rPr>
          <w:rStyle w:val="Emphasis"/>
          <w:i w:val="0"/>
          <w:iCs w:val="0"/>
          <w:szCs w:val="24"/>
          <w:shd w:val="clear" w:color="auto" w:fill="FFFFFF"/>
        </w:rPr>
      </w:pPr>
    </w:p>
    <w:p w14:paraId="5A3D8B8C" w14:textId="538CC21D" w:rsidR="00753451" w:rsidRPr="00753451" w:rsidRDefault="00753451" w:rsidP="00753451">
      <w:pPr>
        <w:ind w:left="1440" w:hanging="1440"/>
        <w:rPr>
          <w:rStyle w:val="Emphasis"/>
          <w:i w:val="0"/>
          <w:iCs w:val="0"/>
          <w:szCs w:val="24"/>
          <w:shd w:val="clear" w:color="auto" w:fill="FFFFFF"/>
        </w:rPr>
      </w:pPr>
      <w:r w:rsidRPr="00753451">
        <w:rPr>
          <w:rStyle w:val="Emphasis"/>
          <w:i w:val="0"/>
          <w:iCs w:val="0"/>
          <w:szCs w:val="24"/>
          <w:shd w:val="clear" w:color="auto" w:fill="FFFFFF"/>
        </w:rPr>
        <w:tab/>
        <w:t>Lee Branstetter (Carnegie Mellon University)</w:t>
      </w:r>
    </w:p>
    <w:p w14:paraId="061F5BDF" w14:textId="77777777" w:rsidR="00753451" w:rsidRPr="00753451" w:rsidRDefault="00753451" w:rsidP="00753451">
      <w:pPr>
        <w:ind w:left="1440"/>
        <w:rPr>
          <w:rStyle w:val="Emphasis"/>
          <w:i w:val="0"/>
          <w:iCs w:val="0"/>
          <w:szCs w:val="24"/>
          <w:shd w:val="clear" w:color="auto" w:fill="FFFFFF"/>
        </w:rPr>
      </w:pPr>
      <w:r w:rsidRPr="00753451">
        <w:rPr>
          <w:rStyle w:val="Emphasis"/>
          <w:i w:val="0"/>
          <w:iCs w:val="0"/>
          <w:szCs w:val="24"/>
          <w:shd w:val="clear" w:color="auto" w:fill="FFFFFF"/>
        </w:rPr>
        <w:t>Britta Glennon (University of Pennsylvania)</w:t>
      </w:r>
    </w:p>
    <w:p w14:paraId="7C141D99" w14:textId="1F48C163" w:rsidR="00753451" w:rsidRDefault="00753451" w:rsidP="00753451">
      <w:pPr>
        <w:ind w:left="720" w:firstLine="720"/>
        <w:rPr>
          <w:rStyle w:val="Emphasis"/>
          <w:i w:val="0"/>
          <w:iCs w:val="0"/>
          <w:szCs w:val="24"/>
          <w:shd w:val="clear" w:color="auto" w:fill="FFFFFF"/>
        </w:rPr>
      </w:pPr>
      <w:r w:rsidRPr="00753451">
        <w:rPr>
          <w:rStyle w:val="Emphasis"/>
          <w:i w:val="0"/>
          <w:iCs w:val="0"/>
          <w:szCs w:val="24"/>
          <w:shd w:val="clear" w:color="auto" w:fill="FFFFFF"/>
        </w:rPr>
        <w:t>J. Bradford Jensen (Georgetown University)</w:t>
      </w:r>
    </w:p>
    <w:p w14:paraId="452FB7AD" w14:textId="77777777" w:rsidR="00753451" w:rsidRPr="00753451" w:rsidRDefault="00753451" w:rsidP="00753451">
      <w:pPr>
        <w:ind w:left="720" w:firstLine="720"/>
        <w:rPr>
          <w:rStyle w:val="Emphasis"/>
          <w:i w:val="0"/>
          <w:iCs w:val="0"/>
          <w:szCs w:val="24"/>
          <w:shd w:val="clear" w:color="auto" w:fill="FFFFFF"/>
        </w:rPr>
      </w:pPr>
    </w:p>
    <w:p w14:paraId="3E803C4F" w14:textId="33525661" w:rsidR="006F645F" w:rsidRDefault="006F645F" w:rsidP="00753451">
      <w:pPr>
        <w:spacing w:line="480" w:lineRule="auto"/>
        <w:ind w:firstLine="720"/>
        <w:rPr>
          <w:rStyle w:val="normaltextrun"/>
          <w:szCs w:val="24"/>
        </w:rPr>
      </w:pPr>
      <w:r w:rsidRPr="00753451">
        <w:rPr>
          <w:rStyle w:val="normaltextrun"/>
          <w:szCs w:val="24"/>
        </w:rPr>
        <w:t xml:space="preserve">U.S. MNCs have moved increasing amounts of R&amp;D overseas—doing so for efficiency reasons and thereby creating a division of labor akin to that more commonly documented in the production of goods. </w:t>
      </w:r>
      <w:r w:rsidR="007D37B5">
        <w:rPr>
          <w:rStyle w:val="normaltextrun"/>
          <w:szCs w:val="24"/>
        </w:rPr>
        <w:t>This chapter argues that c</w:t>
      </w:r>
      <w:r w:rsidRPr="00753451">
        <w:rPr>
          <w:rStyle w:val="normaltextrun"/>
          <w:szCs w:val="24"/>
        </w:rPr>
        <w:t>ombining MNCs’ innovation experience with talent around the world, including from developing countries, may revive and sustain innovation and improve productivity growth</w:t>
      </w:r>
      <w:r w:rsidR="007D37B5">
        <w:rPr>
          <w:rStyle w:val="normaltextrun"/>
          <w:szCs w:val="24"/>
        </w:rPr>
        <w:t xml:space="preserve"> – and that</w:t>
      </w:r>
      <w:r w:rsidRPr="00753451">
        <w:rPr>
          <w:rStyle w:val="normaltextrun"/>
          <w:szCs w:val="24"/>
        </w:rPr>
        <w:t xml:space="preserve"> fears that U.S. expertise is being hollowed out may be overstated. </w:t>
      </w:r>
    </w:p>
    <w:p w14:paraId="118012F1" w14:textId="77777777" w:rsidR="0067125D" w:rsidRPr="00753451" w:rsidRDefault="0067125D" w:rsidP="00753451">
      <w:pPr>
        <w:spacing w:line="480" w:lineRule="auto"/>
        <w:ind w:firstLine="720"/>
        <w:rPr>
          <w:szCs w:val="24"/>
        </w:rPr>
      </w:pPr>
    </w:p>
    <w:p w14:paraId="72C7E296" w14:textId="2DD61ACE" w:rsidR="00753451" w:rsidRPr="00753451" w:rsidRDefault="00753451" w:rsidP="00753451">
      <w:pPr>
        <w:ind w:left="1440" w:hanging="720"/>
        <w:rPr>
          <w:b/>
          <w:szCs w:val="24"/>
        </w:rPr>
      </w:pPr>
      <w:r w:rsidRPr="00753451">
        <w:rPr>
          <w:b/>
          <w:szCs w:val="24"/>
        </w:rPr>
        <w:t>Chapter 9:</w:t>
      </w:r>
      <w:r w:rsidRPr="00753451">
        <w:rPr>
          <w:b/>
          <w:szCs w:val="24"/>
        </w:rPr>
        <w:tab/>
        <w:t>Multinationals in the digital economy</w:t>
      </w:r>
    </w:p>
    <w:p w14:paraId="794C8A5A" w14:textId="77777777" w:rsidR="00753451" w:rsidRPr="00753451" w:rsidRDefault="00753451" w:rsidP="00753451">
      <w:pPr>
        <w:ind w:left="1440" w:hanging="1440"/>
        <w:rPr>
          <w:b/>
          <w:szCs w:val="24"/>
        </w:rPr>
      </w:pPr>
    </w:p>
    <w:p w14:paraId="326BF1C1" w14:textId="52A630FA" w:rsidR="00753451" w:rsidRPr="00753451" w:rsidRDefault="00753451" w:rsidP="00753451">
      <w:pPr>
        <w:pStyle w:val="paragraph"/>
        <w:spacing w:before="0" w:beforeAutospacing="0" w:after="0" w:afterAutospacing="0" w:line="480" w:lineRule="auto"/>
        <w:ind w:firstLine="720"/>
        <w:textAlignment w:val="baseline"/>
        <w:rPr>
          <w:rStyle w:val="Emphasis"/>
          <w:i w:val="0"/>
          <w:iCs w:val="0"/>
          <w:shd w:val="clear" w:color="auto" w:fill="FFFFFF"/>
        </w:rPr>
      </w:pPr>
      <w:r w:rsidRPr="00753451">
        <w:rPr>
          <w:rStyle w:val="Emphasis"/>
          <w:i w:val="0"/>
          <w:iCs w:val="0"/>
          <w:shd w:val="clear" w:color="auto" w:fill="FFFFFF"/>
        </w:rPr>
        <w:t>Benjamin Edelman (Microsoft)  </w:t>
      </w:r>
    </w:p>
    <w:p w14:paraId="7A6C16E2" w14:textId="74C691FC" w:rsidR="008B0D75" w:rsidRDefault="007D37B5" w:rsidP="00753451">
      <w:pPr>
        <w:pStyle w:val="paragraph"/>
        <w:spacing w:before="0" w:beforeAutospacing="0" w:after="0" w:afterAutospacing="0" w:line="480" w:lineRule="auto"/>
        <w:ind w:firstLine="720"/>
        <w:textAlignment w:val="baseline"/>
        <w:rPr>
          <w:rStyle w:val="normaltextrun"/>
        </w:rPr>
      </w:pPr>
      <w:r>
        <w:rPr>
          <w:rStyle w:val="Emphasis"/>
          <w:i w:val="0"/>
          <w:iCs w:val="0"/>
          <w:shd w:val="clear" w:color="auto" w:fill="FFFFFF"/>
        </w:rPr>
        <w:t xml:space="preserve">This </w:t>
      </w:r>
      <w:r w:rsidR="006F645F" w:rsidRPr="00753451">
        <w:rPr>
          <w:rStyle w:val="normaltextrun"/>
        </w:rPr>
        <w:t>chapter observes that the digital economy is more centralized than might have been expected. Successful firms, such as Facebook, evolved quickly into multinationals that provide global services from a centralized location. They have benefited from software standardization—such as the Internet and Unicode characters for languages—which disproportionately emanates from the United States. As a result, software is cost-effective, and it is easily scalable for free, instant, and reliabl</w:t>
      </w:r>
      <w:r w:rsidR="0067125D">
        <w:rPr>
          <w:rStyle w:val="normaltextrun"/>
        </w:rPr>
        <w:t>y</w:t>
      </w:r>
      <w:r w:rsidR="006F645F" w:rsidRPr="00753451">
        <w:rPr>
          <w:rStyle w:val="normaltextrun"/>
        </w:rPr>
        <w:t xml:space="preserve"> deploy</w:t>
      </w:r>
      <w:r w:rsidR="0067125D">
        <w:rPr>
          <w:rStyle w:val="normaltextrun"/>
        </w:rPr>
        <w:t>ed</w:t>
      </w:r>
      <w:r w:rsidR="006F645F" w:rsidRPr="00753451">
        <w:rPr>
          <w:rStyle w:val="normaltextrun"/>
        </w:rPr>
        <w:t xml:space="preserve"> around the world. This allows firms to grow rapidly. Digital MNCs that have become behemoths have the scale and resources to withstand pressure from local competitors and national governments. MNCs increase local employment in response to competition, nuances in knowledge, and privacy concerns, but they face increasing questions relating to regulation and taxes. Governments invoke traditional law enforcement and have developed new multifaceted strategies to regulate digital MNCs. </w:t>
      </w:r>
    </w:p>
    <w:p w14:paraId="4C44D659" w14:textId="00DB60CB" w:rsidR="00753451" w:rsidRPr="00753451" w:rsidRDefault="00753451" w:rsidP="00753451">
      <w:pPr>
        <w:pStyle w:val="paragraph"/>
        <w:spacing w:before="0" w:beforeAutospacing="0" w:after="0" w:afterAutospacing="0" w:line="480" w:lineRule="auto"/>
        <w:ind w:firstLine="720"/>
        <w:textAlignment w:val="baseline"/>
        <w:rPr>
          <w:rStyle w:val="normaltextrun"/>
        </w:rPr>
      </w:pPr>
    </w:p>
    <w:p w14:paraId="2B7C77F4" w14:textId="77777777" w:rsidR="00753451" w:rsidRPr="00753451" w:rsidRDefault="00753451" w:rsidP="00753451">
      <w:pPr>
        <w:ind w:left="1440" w:hanging="1440"/>
        <w:rPr>
          <w:b/>
          <w:szCs w:val="24"/>
        </w:rPr>
      </w:pPr>
      <w:r w:rsidRPr="00753451">
        <w:rPr>
          <w:b/>
          <w:szCs w:val="24"/>
        </w:rPr>
        <w:t>Chapter 10:</w:t>
      </w:r>
      <w:r w:rsidRPr="00753451">
        <w:rPr>
          <w:b/>
          <w:szCs w:val="24"/>
        </w:rPr>
        <w:tab/>
        <w:t>Tax Avoidance and Multinational Firm Behavior</w:t>
      </w:r>
    </w:p>
    <w:p w14:paraId="6112A1BB" w14:textId="77777777" w:rsidR="00753451" w:rsidRPr="00753451" w:rsidRDefault="00753451" w:rsidP="00753451">
      <w:pPr>
        <w:ind w:left="1440" w:hanging="1440"/>
        <w:rPr>
          <w:b/>
          <w:szCs w:val="24"/>
        </w:rPr>
      </w:pPr>
    </w:p>
    <w:p w14:paraId="22D377D3" w14:textId="6BC5CEA6" w:rsidR="00753451" w:rsidRPr="00753451" w:rsidRDefault="00753451" w:rsidP="00753451">
      <w:pPr>
        <w:spacing w:after="60"/>
        <w:rPr>
          <w:rStyle w:val="Emphasis"/>
          <w:i w:val="0"/>
          <w:iCs w:val="0"/>
          <w:szCs w:val="24"/>
          <w:shd w:val="clear" w:color="auto" w:fill="FFFFFF"/>
        </w:rPr>
      </w:pPr>
      <w:r w:rsidRPr="00753451">
        <w:rPr>
          <w:rStyle w:val="Emphasis"/>
          <w:i w:val="0"/>
          <w:iCs w:val="0"/>
          <w:szCs w:val="24"/>
          <w:shd w:val="clear" w:color="auto" w:fill="FFFFFF"/>
        </w:rPr>
        <w:tab/>
        <w:t>Scott Dyreng (Duke University)</w:t>
      </w:r>
    </w:p>
    <w:p w14:paraId="25A89AEB" w14:textId="77777777" w:rsidR="00753451" w:rsidRPr="00753451" w:rsidRDefault="00753451" w:rsidP="00753451">
      <w:pPr>
        <w:ind w:left="720"/>
        <w:rPr>
          <w:szCs w:val="24"/>
        </w:rPr>
      </w:pPr>
      <w:r w:rsidRPr="00753451">
        <w:rPr>
          <w:rStyle w:val="Emphasis"/>
          <w:i w:val="0"/>
          <w:iCs w:val="0"/>
          <w:szCs w:val="24"/>
          <w:shd w:val="clear" w:color="auto" w:fill="FFFFFF"/>
        </w:rPr>
        <w:t>Michelle Hanlon (MIT) </w:t>
      </w:r>
      <w:r w:rsidRPr="00753451">
        <w:rPr>
          <w:szCs w:val="24"/>
        </w:rPr>
        <w:br/>
      </w:r>
    </w:p>
    <w:p w14:paraId="210F01FA" w14:textId="230D78A8" w:rsidR="006F645F" w:rsidRDefault="008B0D75" w:rsidP="008416AD">
      <w:pPr>
        <w:spacing w:line="480" w:lineRule="auto"/>
        <w:ind w:firstLine="720"/>
        <w:rPr>
          <w:color w:val="000000"/>
          <w:szCs w:val="24"/>
          <w:shd w:val="clear" w:color="auto" w:fill="FFFFFF"/>
        </w:rPr>
      </w:pPr>
      <w:r>
        <w:rPr>
          <w:szCs w:val="24"/>
        </w:rPr>
        <w:t xml:space="preserve">This chapter reports that </w:t>
      </w:r>
      <w:r w:rsidR="006F645F" w:rsidRPr="00753451">
        <w:rPr>
          <w:szCs w:val="24"/>
        </w:rPr>
        <w:t xml:space="preserve">MNCs pay </w:t>
      </w:r>
      <w:r w:rsidR="006F645F" w:rsidRPr="00753451">
        <w:rPr>
          <w:color w:val="000000"/>
          <w:szCs w:val="24"/>
          <w:shd w:val="clear" w:color="auto" w:fill="FFFFFF"/>
        </w:rPr>
        <w:t>substantial taxes,</w:t>
      </w:r>
      <w:r>
        <w:rPr>
          <w:color w:val="000000"/>
          <w:szCs w:val="24"/>
          <w:shd w:val="clear" w:color="auto" w:fill="FFFFFF"/>
        </w:rPr>
        <w:t xml:space="preserve"> not only in the aggregate but also </w:t>
      </w:r>
      <w:r w:rsidR="0009701B">
        <w:rPr>
          <w:color w:val="000000"/>
          <w:szCs w:val="24"/>
          <w:shd w:val="clear" w:color="auto" w:fill="FFFFFF"/>
        </w:rPr>
        <w:t>relative to comparable</w:t>
      </w:r>
      <w:r>
        <w:rPr>
          <w:color w:val="000000"/>
          <w:szCs w:val="24"/>
          <w:shd w:val="clear" w:color="auto" w:fill="FFFFFF"/>
        </w:rPr>
        <w:t xml:space="preserve"> firms that are not multinational. The</w:t>
      </w:r>
      <w:r w:rsidR="00BC7A0F">
        <w:rPr>
          <w:color w:val="000000"/>
          <w:szCs w:val="24"/>
          <w:shd w:val="clear" w:color="auto" w:fill="FFFFFF"/>
        </w:rPr>
        <w:t xml:space="preserve"> chapter </w:t>
      </w:r>
      <w:r w:rsidR="006F645F" w:rsidRPr="00753451">
        <w:rPr>
          <w:color w:val="000000"/>
          <w:szCs w:val="24"/>
          <w:shd w:val="clear" w:color="auto" w:fill="FFFFFF"/>
        </w:rPr>
        <w:t xml:space="preserve">also reports evidence of rising tax avoidance, including cross-jurisdictional income shifting and tax-sensitive location of investment, debt, and employment. </w:t>
      </w:r>
    </w:p>
    <w:p w14:paraId="45ACE864" w14:textId="77777777" w:rsidR="008B0D75" w:rsidRPr="00753451" w:rsidRDefault="008B0D75" w:rsidP="008416AD">
      <w:pPr>
        <w:spacing w:line="480" w:lineRule="auto"/>
        <w:ind w:firstLine="720"/>
        <w:rPr>
          <w:szCs w:val="24"/>
        </w:rPr>
      </w:pPr>
    </w:p>
    <w:p w14:paraId="60F31E45" w14:textId="47462F44" w:rsidR="00753451" w:rsidRPr="00753451" w:rsidRDefault="00753451" w:rsidP="00753451">
      <w:pPr>
        <w:ind w:left="1440" w:hanging="1440"/>
        <w:rPr>
          <w:b/>
          <w:szCs w:val="24"/>
        </w:rPr>
      </w:pPr>
      <w:r w:rsidRPr="00753451">
        <w:rPr>
          <w:b/>
          <w:szCs w:val="24"/>
        </w:rPr>
        <w:t>Chapter 11:</w:t>
      </w:r>
      <w:r w:rsidRPr="00753451">
        <w:rPr>
          <w:b/>
          <w:szCs w:val="24"/>
        </w:rPr>
        <w:tab/>
        <w:t>Do multinational firms use tax havens to the detriment of non</w:t>
      </w:r>
      <w:r w:rsidR="00BC7A0F">
        <w:rPr>
          <w:b/>
          <w:szCs w:val="24"/>
        </w:rPr>
        <w:t>-</w:t>
      </w:r>
      <w:r w:rsidRPr="00753451">
        <w:rPr>
          <w:b/>
          <w:szCs w:val="24"/>
        </w:rPr>
        <w:t>haven countries?</w:t>
      </w:r>
    </w:p>
    <w:p w14:paraId="69DD193A" w14:textId="77777777" w:rsidR="00753451" w:rsidRPr="00753451" w:rsidRDefault="00753451" w:rsidP="00753451">
      <w:pPr>
        <w:ind w:left="1440" w:hanging="1440"/>
        <w:rPr>
          <w:b/>
          <w:szCs w:val="24"/>
        </w:rPr>
      </w:pPr>
    </w:p>
    <w:p w14:paraId="7D87BE87" w14:textId="77777777" w:rsidR="00753451" w:rsidRPr="00753451" w:rsidRDefault="00753451" w:rsidP="00753451">
      <w:pPr>
        <w:spacing w:line="480" w:lineRule="auto"/>
        <w:ind w:firstLine="720"/>
        <w:rPr>
          <w:szCs w:val="24"/>
        </w:rPr>
      </w:pPr>
      <w:r w:rsidRPr="00753451">
        <w:rPr>
          <w:rStyle w:val="Emphasis"/>
          <w:i w:val="0"/>
          <w:iCs w:val="0"/>
          <w:szCs w:val="24"/>
          <w:shd w:val="clear" w:color="auto" w:fill="FFFFFF"/>
        </w:rPr>
        <w:tab/>
        <w:t>Dhammika Dharmapala (University of Chicago)  </w:t>
      </w:r>
    </w:p>
    <w:p w14:paraId="57CBA6EA" w14:textId="1A58B658" w:rsidR="006F645F" w:rsidRDefault="0009701B" w:rsidP="00753451">
      <w:pPr>
        <w:spacing w:line="480" w:lineRule="auto"/>
        <w:ind w:firstLine="720"/>
        <w:rPr>
          <w:color w:val="000000"/>
          <w:szCs w:val="24"/>
          <w:shd w:val="clear" w:color="auto" w:fill="FFFFFF"/>
        </w:rPr>
      </w:pPr>
      <w:r>
        <w:rPr>
          <w:color w:val="000000"/>
          <w:szCs w:val="24"/>
          <w:shd w:val="clear" w:color="auto" w:fill="FFFFFF"/>
        </w:rPr>
        <w:lastRenderedPageBreak/>
        <w:t xml:space="preserve">This chapter </w:t>
      </w:r>
      <w:r w:rsidR="007B30B4">
        <w:rPr>
          <w:color w:val="000000"/>
          <w:szCs w:val="24"/>
          <w:shd w:val="clear" w:color="auto" w:fill="FFFFFF"/>
        </w:rPr>
        <w:t>consider</w:t>
      </w:r>
      <w:r>
        <w:rPr>
          <w:color w:val="000000"/>
          <w:szCs w:val="24"/>
          <w:shd w:val="clear" w:color="auto" w:fill="FFFFFF"/>
        </w:rPr>
        <w:t>s</w:t>
      </w:r>
      <w:r w:rsidR="007B30B4">
        <w:rPr>
          <w:color w:val="000000"/>
          <w:szCs w:val="24"/>
          <w:shd w:val="clear" w:color="auto" w:fill="FFFFFF"/>
        </w:rPr>
        <w:t xml:space="preserve"> evidence of</w:t>
      </w:r>
      <w:r>
        <w:rPr>
          <w:color w:val="000000"/>
          <w:szCs w:val="24"/>
          <w:shd w:val="clear" w:color="auto" w:fill="FFFFFF"/>
        </w:rPr>
        <w:t xml:space="preserve"> tax haven</w:t>
      </w:r>
      <w:r w:rsidR="007B30B4">
        <w:rPr>
          <w:color w:val="000000"/>
          <w:szCs w:val="24"/>
          <w:shd w:val="clear" w:color="auto" w:fill="FFFFFF"/>
        </w:rPr>
        <w:t xml:space="preserve"> use</w:t>
      </w:r>
      <w:r>
        <w:rPr>
          <w:color w:val="000000"/>
          <w:szCs w:val="24"/>
          <w:shd w:val="clear" w:color="auto" w:fill="FFFFFF"/>
        </w:rPr>
        <w:t xml:space="preserve"> by multinational </w:t>
      </w:r>
      <w:proofErr w:type="gramStart"/>
      <w:r>
        <w:rPr>
          <w:color w:val="000000"/>
          <w:szCs w:val="24"/>
          <w:shd w:val="clear" w:color="auto" w:fill="FFFFFF"/>
        </w:rPr>
        <w:t>firms, and</w:t>
      </w:r>
      <w:proofErr w:type="gramEnd"/>
      <w:r>
        <w:rPr>
          <w:color w:val="000000"/>
          <w:szCs w:val="24"/>
          <w:shd w:val="clear" w:color="auto" w:fill="FFFFFF"/>
        </w:rPr>
        <w:t xml:space="preserve"> </w:t>
      </w:r>
      <w:r w:rsidR="007B30B4">
        <w:rPr>
          <w:color w:val="000000"/>
          <w:szCs w:val="24"/>
          <w:shd w:val="clear" w:color="auto" w:fill="FFFFFF"/>
        </w:rPr>
        <w:t>document</w:t>
      </w:r>
      <w:r>
        <w:rPr>
          <w:color w:val="000000"/>
          <w:szCs w:val="24"/>
          <w:shd w:val="clear" w:color="auto" w:fill="FFFFFF"/>
        </w:rPr>
        <w:t>s the extent to which many MNCs do not</w:t>
      </w:r>
      <w:r w:rsidR="007B30B4">
        <w:rPr>
          <w:color w:val="000000"/>
          <w:szCs w:val="24"/>
          <w:shd w:val="clear" w:color="auto" w:fill="FFFFFF"/>
        </w:rPr>
        <w:t xml:space="preserve"> route any investments or transactions through tax havens.  </w:t>
      </w:r>
      <w:r w:rsidR="006F645F" w:rsidRPr="00753451">
        <w:rPr>
          <w:color w:val="000000"/>
          <w:szCs w:val="24"/>
          <w:shd w:val="clear" w:color="auto" w:fill="FFFFFF"/>
        </w:rPr>
        <w:t xml:space="preserve">Challenging the </w:t>
      </w:r>
      <w:r w:rsidR="008B0D75">
        <w:rPr>
          <w:color w:val="000000"/>
          <w:szCs w:val="24"/>
          <w:shd w:val="clear" w:color="auto" w:fill="FFFFFF"/>
        </w:rPr>
        <w:t>common</w:t>
      </w:r>
      <w:r w:rsidR="006F645F" w:rsidRPr="00753451">
        <w:rPr>
          <w:color w:val="000000"/>
          <w:szCs w:val="24"/>
          <w:shd w:val="clear" w:color="auto" w:fill="FFFFFF"/>
        </w:rPr>
        <w:t xml:space="preserve"> view that tax havens are parasitical on other countries, the chapter argues that </w:t>
      </w:r>
      <w:r w:rsidR="007B30B4">
        <w:rPr>
          <w:color w:val="000000"/>
          <w:szCs w:val="24"/>
          <w:shd w:val="clear" w:color="auto" w:fill="FFFFFF"/>
        </w:rPr>
        <w:t xml:space="preserve">tax havens may in some circumstances benefit high-tax countries, and notes that </w:t>
      </w:r>
      <w:r w:rsidR="006F645F" w:rsidRPr="00753451">
        <w:rPr>
          <w:color w:val="000000"/>
          <w:szCs w:val="24"/>
          <w:shd w:val="clear" w:color="auto" w:fill="FFFFFF"/>
        </w:rPr>
        <w:t>MNCs’ use of tax havens relies crucially on forbearance or active facilitation by these non-havens</w:t>
      </w:r>
      <w:r w:rsidR="005B251B">
        <w:rPr>
          <w:color w:val="000000"/>
          <w:szCs w:val="24"/>
          <w:shd w:val="clear" w:color="auto" w:fill="FFFFFF"/>
        </w:rPr>
        <w:t>.</w:t>
      </w:r>
      <w:r w:rsidR="006F645F" w:rsidRPr="00753451">
        <w:rPr>
          <w:color w:val="000000"/>
          <w:szCs w:val="24"/>
          <w:shd w:val="clear" w:color="auto" w:fill="FFFFFF"/>
        </w:rPr>
        <w:t xml:space="preserve"> </w:t>
      </w:r>
    </w:p>
    <w:p w14:paraId="2133DA79" w14:textId="77777777" w:rsidR="007B30B4" w:rsidRPr="00753451" w:rsidRDefault="007B30B4" w:rsidP="00753451">
      <w:pPr>
        <w:spacing w:line="480" w:lineRule="auto"/>
        <w:ind w:firstLine="720"/>
        <w:rPr>
          <w:color w:val="000000"/>
          <w:szCs w:val="24"/>
          <w:shd w:val="clear" w:color="auto" w:fill="FFFFFF"/>
        </w:rPr>
      </w:pPr>
    </w:p>
    <w:p w14:paraId="600E72C8" w14:textId="0F31E31D" w:rsidR="00753451" w:rsidRDefault="00753451" w:rsidP="00753451">
      <w:pPr>
        <w:ind w:left="1440" w:hanging="1440"/>
        <w:rPr>
          <w:b/>
          <w:szCs w:val="24"/>
        </w:rPr>
      </w:pPr>
      <w:r w:rsidRPr="00753451">
        <w:rPr>
          <w:b/>
          <w:szCs w:val="24"/>
        </w:rPr>
        <w:t>Chapter 12:</w:t>
      </w:r>
      <w:r w:rsidRPr="00753451">
        <w:rPr>
          <w:b/>
          <w:szCs w:val="24"/>
        </w:rPr>
        <w:tab/>
        <w:t>Multinational corporations and their influence through lobbying on foreign policy</w:t>
      </w:r>
    </w:p>
    <w:p w14:paraId="07E28989" w14:textId="77777777" w:rsidR="00D61D5F" w:rsidRPr="00753451" w:rsidRDefault="00D61D5F" w:rsidP="00753451">
      <w:pPr>
        <w:ind w:left="1440" w:hanging="1440"/>
        <w:rPr>
          <w:b/>
          <w:szCs w:val="24"/>
        </w:rPr>
      </w:pPr>
    </w:p>
    <w:p w14:paraId="7A3BB035" w14:textId="146822FC" w:rsidR="00753451" w:rsidRPr="00753451" w:rsidRDefault="00753451" w:rsidP="00753451">
      <w:pPr>
        <w:ind w:left="1440" w:hanging="1440"/>
        <w:rPr>
          <w:rStyle w:val="Emphasis"/>
          <w:i w:val="0"/>
          <w:iCs w:val="0"/>
          <w:szCs w:val="24"/>
          <w:shd w:val="clear" w:color="auto" w:fill="FFFFFF"/>
        </w:rPr>
      </w:pPr>
      <w:r w:rsidRPr="00753451">
        <w:rPr>
          <w:rStyle w:val="Emphasis"/>
          <w:i w:val="0"/>
          <w:iCs w:val="0"/>
          <w:szCs w:val="24"/>
          <w:shd w:val="clear" w:color="auto" w:fill="FFFFFF"/>
        </w:rPr>
        <w:tab/>
        <w:t>In Song Kim (Massachusetts Institute of Technology)</w:t>
      </w:r>
    </w:p>
    <w:p w14:paraId="63982D4B" w14:textId="4EEA7A71" w:rsidR="00753451" w:rsidRPr="00753451" w:rsidRDefault="00753451" w:rsidP="00753451">
      <w:pPr>
        <w:spacing w:line="480" w:lineRule="auto"/>
        <w:ind w:left="720" w:firstLine="720"/>
        <w:rPr>
          <w:szCs w:val="24"/>
        </w:rPr>
      </w:pPr>
      <w:r w:rsidRPr="00753451">
        <w:rPr>
          <w:rStyle w:val="Emphasis"/>
          <w:i w:val="0"/>
          <w:iCs w:val="0"/>
          <w:szCs w:val="24"/>
          <w:shd w:val="clear" w:color="auto" w:fill="FFFFFF"/>
        </w:rPr>
        <w:t>Helen Milner (Princeton University) </w:t>
      </w:r>
    </w:p>
    <w:p w14:paraId="759C394C" w14:textId="429BDBAB" w:rsidR="004D2FEB" w:rsidRPr="00753451" w:rsidRDefault="005B251B" w:rsidP="00F608A4">
      <w:pPr>
        <w:spacing w:line="480" w:lineRule="auto"/>
        <w:ind w:firstLine="720"/>
        <w:rPr>
          <w:rStyle w:val="PageNumber"/>
          <w:iCs/>
          <w:szCs w:val="24"/>
        </w:rPr>
      </w:pPr>
      <w:r>
        <w:rPr>
          <w:color w:val="000000"/>
          <w:szCs w:val="24"/>
          <w:shd w:val="clear" w:color="auto" w:fill="FFFFFF"/>
        </w:rPr>
        <w:t>T</w:t>
      </w:r>
      <w:r w:rsidR="00753451" w:rsidRPr="00753451">
        <w:rPr>
          <w:color w:val="000000"/>
          <w:szCs w:val="24"/>
          <w:shd w:val="clear" w:color="auto" w:fill="FFFFFF"/>
        </w:rPr>
        <w:t xml:space="preserve">his chapter uses </w:t>
      </w:r>
      <w:r w:rsidR="006F645F" w:rsidRPr="00753451">
        <w:rPr>
          <w:color w:val="000000"/>
          <w:szCs w:val="24"/>
          <w:shd w:val="clear" w:color="auto" w:fill="FFFFFF"/>
        </w:rPr>
        <w:t xml:space="preserve">novel data encompassing lobbying activities of all U.S. public firms from 1999 to </w:t>
      </w:r>
      <w:proofErr w:type="gramStart"/>
      <w:r w:rsidR="006F645F" w:rsidRPr="00753451">
        <w:rPr>
          <w:color w:val="000000"/>
          <w:szCs w:val="24"/>
          <w:shd w:val="clear" w:color="auto" w:fill="FFFFFF"/>
        </w:rPr>
        <w:t>2019</w:t>
      </w:r>
      <w:r>
        <w:rPr>
          <w:color w:val="000000"/>
          <w:szCs w:val="24"/>
          <w:shd w:val="clear" w:color="auto" w:fill="FFFFFF"/>
        </w:rPr>
        <w:t xml:space="preserve"> </w:t>
      </w:r>
      <w:r w:rsidR="006F645F" w:rsidRPr="00753451">
        <w:rPr>
          <w:color w:val="000000"/>
          <w:szCs w:val="24"/>
          <w:shd w:val="clear" w:color="auto" w:fill="FFFFFF"/>
        </w:rPr>
        <w:t xml:space="preserve"> to</w:t>
      </w:r>
      <w:proofErr w:type="gramEnd"/>
      <w:r w:rsidR="006F645F" w:rsidRPr="00753451">
        <w:rPr>
          <w:color w:val="000000"/>
          <w:szCs w:val="24"/>
          <w:shd w:val="clear" w:color="auto" w:fill="FFFFFF"/>
        </w:rPr>
        <w:t xml:space="preserve"> estimate the effect of MNC status on lobbying. </w:t>
      </w:r>
      <w:r w:rsidR="00753451" w:rsidRPr="00753451">
        <w:rPr>
          <w:color w:val="000000"/>
          <w:szCs w:val="24"/>
          <w:shd w:val="clear" w:color="auto" w:fill="FFFFFF"/>
        </w:rPr>
        <w:t xml:space="preserve">It finds </w:t>
      </w:r>
      <w:r w:rsidR="006F645F" w:rsidRPr="00753451">
        <w:rPr>
          <w:color w:val="000000"/>
          <w:szCs w:val="24"/>
          <w:shd w:val="clear" w:color="auto" w:fill="FFFFFF"/>
        </w:rPr>
        <w:t>strong evidence that lobbying expenditures increase when firms become multinationals</w:t>
      </w:r>
      <w:r>
        <w:rPr>
          <w:color w:val="000000"/>
          <w:szCs w:val="24"/>
          <w:shd w:val="clear" w:color="auto" w:fill="FFFFFF"/>
        </w:rPr>
        <w:t xml:space="preserve"> and </w:t>
      </w:r>
      <w:proofErr w:type="gramStart"/>
      <w:r>
        <w:rPr>
          <w:color w:val="000000"/>
          <w:szCs w:val="24"/>
          <w:shd w:val="clear" w:color="auto" w:fill="FFFFFF"/>
        </w:rPr>
        <w:t xml:space="preserve">that </w:t>
      </w:r>
      <w:r w:rsidR="006F645F" w:rsidRPr="00753451">
        <w:rPr>
          <w:color w:val="000000"/>
          <w:szCs w:val="24"/>
          <w:shd w:val="clear" w:color="auto" w:fill="FFFFFF"/>
        </w:rPr>
        <w:t xml:space="preserve"> MNCs</w:t>
      </w:r>
      <w:proofErr w:type="gramEnd"/>
      <w:r w:rsidR="006F645F" w:rsidRPr="00753451">
        <w:rPr>
          <w:color w:val="000000"/>
          <w:szCs w:val="24"/>
          <w:shd w:val="clear" w:color="auto" w:fill="FFFFFF"/>
        </w:rPr>
        <w:t xml:space="preserve"> tend to lobby on more diverse sets of foreign policy issues than do other firms.</w:t>
      </w:r>
    </w:p>
    <w:sectPr w:rsidR="004D2FEB" w:rsidRPr="00753451">
      <w:footerReference w:type="even" r:id="rId26"/>
      <w:footerReference w:type="default" r:id="rId27"/>
      <w:endnotePr>
        <w:numFmt w:val="decimal"/>
      </w:endnotePr>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tephanie Cencula" w:date="2021-01-25T13:57:00Z" w:initials="SC">
    <w:p w14:paraId="77644720" w14:textId="11CA43B5" w:rsidR="00A45764" w:rsidRDefault="00A45764" w:rsidP="00A45764">
      <w:pPr>
        <w:pStyle w:val="CommentText"/>
      </w:pPr>
      <w:r>
        <w:rPr>
          <w:rStyle w:val="CommentReference"/>
        </w:rPr>
        <w:annotationRef/>
      </w:r>
      <w:r>
        <w:t xml:space="preserve">Instead of </w:t>
      </w:r>
      <w:r>
        <w:t xml:space="preserve">“U.S. affiliates of foreign MNCs” </w:t>
      </w:r>
      <w:r>
        <w:t xml:space="preserve">let’s call that category “U.S. </w:t>
      </w:r>
      <w:r>
        <w:t>arms of foreign-headquartered firms</w:t>
      </w:r>
      <w:r>
        <w:t>”</w:t>
      </w:r>
    </w:p>
  </w:comment>
  <w:comment w:id="1" w:author="David Wessel" w:date="2020-12-14T15:44:00Z" w:initials="DW">
    <w:p w14:paraId="0BAC9A78" w14:textId="29981172" w:rsidR="007C3E39" w:rsidRDefault="007C3E39">
      <w:pPr>
        <w:pStyle w:val="CommentText"/>
      </w:pPr>
      <w:r>
        <w:rPr>
          <w:rStyle w:val="CommentReference"/>
        </w:rPr>
        <w:annotationRef/>
      </w:r>
      <w:r>
        <w:t>Add #s to first and last data point on each line</w:t>
      </w:r>
    </w:p>
    <w:p w14:paraId="5F05FF35" w14:textId="53DB7D39" w:rsidR="007C3E39" w:rsidRDefault="007C3E39">
      <w:pPr>
        <w:pStyle w:val="CommentText"/>
      </w:pPr>
      <w:r>
        <w:t xml:space="preserve">Can we move </w:t>
      </w:r>
      <w:r w:rsidR="00A45764">
        <w:t>line labels</w:t>
      </w:r>
      <w:r>
        <w:t xml:space="preserve"> to the body of chart </w:t>
      </w:r>
      <w:r w:rsidR="00A45764">
        <w:t>(and get rid of key</w:t>
      </w:r>
      <w:proofErr w:type="gramStart"/>
      <w:r w:rsidR="00A45764">
        <w:t>)</w:t>
      </w:r>
      <w:proofErr w:type="gramEnd"/>
    </w:p>
    <w:p w14:paraId="68F3A10E" w14:textId="1FCC5899" w:rsidR="007C3E39" w:rsidRDefault="007C3E39">
      <w:pPr>
        <w:pStyle w:val="CommentText"/>
      </w:pPr>
    </w:p>
  </w:comment>
  <w:comment w:id="2" w:author="David Wessel" w:date="2020-12-14T15:45:00Z" w:initials="DW">
    <w:p w14:paraId="39BAE12A" w14:textId="49E1FF8E" w:rsidR="007C3E39" w:rsidRDefault="007C3E39">
      <w:pPr>
        <w:pStyle w:val="CommentText"/>
      </w:pPr>
      <w:r>
        <w:rPr>
          <w:rStyle w:val="CommentReference"/>
        </w:rPr>
        <w:annotationRef/>
      </w:r>
      <w:r>
        <w:t>Put numbers at first and last data point on each chart</w:t>
      </w:r>
    </w:p>
    <w:p w14:paraId="7D6FBA06" w14:textId="2649E8C0" w:rsidR="007C3E39" w:rsidRDefault="007C3E39">
      <w:pPr>
        <w:pStyle w:val="CommentText"/>
      </w:pPr>
      <w:r>
        <w:t xml:space="preserve">Can we move labels to body of chart and dispense with key </w:t>
      </w:r>
    </w:p>
  </w:comment>
  <w:comment w:id="3" w:author="David Wessel" w:date="2020-12-14T15:46:00Z" w:initials="DW">
    <w:p w14:paraId="4CD83B47" w14:textId="2259CC9C" w:rsidR="007C3E39" w:rsidRDefault="007C3E39">
      <w:pPr>
        <w:pStyle w:val="CommentText"/>
      </w:pPr>
      <w:r>
        <w:rPr>
          <w:rStyle w:val="CommentReference"/>
        </w:rPr>
        <w:annotationRef/>
      </w:r>
      <w:r>
        <w:t xml:space="preserve">Definitely move labels to body of chart </w:t>
      </w:r>
      <w:r w:rsidR="0068174E">
        <w:t>and delete key</w:t>
      </w:r>
    </w:p>
  </w:comment>
  <w:comment w:id="4" w:author="David Wessel" w:date="2020-12-14T15:47:00Z" w:initials="DW">
    <w:p w14:paraId="6A8FA51D" w14:textId="4C52CA11" w:rsidR="007C3E39" w:rsidRDefault="007C3E39">
      <w:pPr>
        <w:pStyle w:val="CommentText"/>
      </w:pPr>
      <w:r>
        <w:rPr>
          <w:rStyle w:val="CommentReference"/>
        </w:rPr>
        <w:annotationRef/>
      </w:r>
      <w:r>
        <w:t>Move label</w:t>
      </w:r>
      <w:r w:rsidR="00216D4A">
        <w:t xml:space="preserve">s </w:t>
      </w:r>
      <w:r>
        <w:t xml:space="preserve">to body of chart </w:t>
      </w:r>
      <w:r w:rsidR="00216D4A">
        <w:t>and delete key</w:t>
      </w:r>
    </w:p>
  </w:comment>
  <w:comment w:id="5" w:author="David Wessel" w:date="2020-12-14T15:47:00Z" w:initials="DW">
    <w:p w14:paraId="398BFF9D" w14:textId="77777777" w:rsidR="007C3E39" w:rsidRDefault="007C3E39">
      <w:pPr>
        <w:pStyle w:val="CommentText"/>
      </w:pPr>
      <w:r>
        <w:rPr>
          <w:rStyle w:val="CommentReference"/>
        </w:rPr>
        <w:annotationRef/>
      </w:r>
      <w:r>
        <w:t>Reduce number of bars. Show</w:t>
      </w:r>
    </w:p>
    <w:p w14:paraId="257520D9" w14:textId="77777777" w:rsidR="007C3E39" w:rsidRDefault="007C3E39">
      <w:pPr>
        <w:pStyle w:val="CommentText"/>
      </w:pPr>
    </w:p>
    <w:p w14:paraId="6D9E1186" w14:textId="77777777" w:rsidR="007C3E39" w:rsidRDefault="007C3E39">
      <w:pPr>
        <w:pStyle w:val="CommentText"/>
      </w:pPr>
      <w:r>
        <w:t># of employees</w:t>
      </w:r>
    </w:p>
    <w:p w14:paraId="62D1C3A4" w14:textId="77777777" w:rsidR="007C3E39" w:rsidRDefault="007C3E39">
      <w:pPr>
        <w:pStyle w:val="CommentText"/>
      </w:pPr>
      <w:r>
        <w:t>Value added</w:t>
      </w:r>
    </w:p>
    <w:p w14:paraId="69CE106A" w14:textId="77777777" w:rsidR="007C3E39" w:rsidRDefault="007C3E39">
      <w:pPr>
        <w:pStyle w:val="CommentText"/>
      </w:pPr>
      <w:r>
        <w:t xml:space="preserve">Sales </w:t>
      </w:r>
    </w:p>
    <w:p w14:paraId="021E0667" w14:textId="77777777" w:rsidR="007C3E39" w:rsidRDefault="007C3E39">
      <w:pPr>
        <w:pStyle w:val="CommentText"/>
      </w:pPr>
      <w:r>
        <w:t>Net income</w:t>
      </w:r>
    </w:p>
    <w:p w14:paraId="4D46C512" w14:textId="77777777" w:rsidR="007C3E39" w:rsidRDefault="007C3E39">
      <w:pPr>
        <w:pStyle w:val="CommentText"/>
      </w:pPr>
      <w:r>
        <w:t>Capital expenditures</w:t>
      </w:r>
    </w:p>
    <w:p w14:paraId="1C17D3A8" w14:textId="2F0D6C95" w:rsidR="007C3E39" w:rsidRDefault="00595E88">
      <w:pPr>
        <w:pStyle w:val="CommentText"/>
      </w:pPr>
      <w:r>
        <w:t xml:space="preserve">Total assets </w:t>
      </w:r>
    </w:p>
    <w:p w14:paraId="310B5DC1" w14:textId="51E49C7C" w:rsidR="00595E88" w:rsidRDefault="00595E88">
      <w:pPr>
        <w:pStyle w:val="CommentText"/>
      </w:pPr>
      <w:r>
        <w:t>Net PPE</w:t>
      </w:r>
    </w:p>
    <w:p w14:paraId="2B4AA4A1" w14:textId="77777777" w:rsidR="007C3E39" w:rsidRDefault="007C3E39">
      <w:pPr>
        <w:pStyle w:val="CommentText"/>
      </w:pPr>
    </w:p>
    <w:p w14:paraId="5C58B51B" w14:textId="5CAF6810" w:rsidR="007C3E39" w:rsidRDefault="00595E88">
      <w:pPr>
        <w:pStyle w:val="CommentText"/>
      </w:pPr>
      <w:r>
        <w:t xml:space="preserve">Put number alongside bar </w:t>
      </w:r>
    </w:p>
  </w:comment>
  <w:comment w:id="6" w:author="David Wessel" w:date="2020-12-14T15:47:00Z" w:initials="DW">
    <w:p w14:paraId="62E8EC71" w14:textId="3347AA69" w:rsidR="007C3E39" w:rsidRDefault="007C3E39">
      <w:pPr>
        <w:pStyle w:val="CommentText"/>
      </w:pPr>
      <w:r>
        <w:rPr>
          <w:rStyle w:val="CommentReference"/>
        </w:rPr>
        <w:annotationRef/>
      </w:r>
      <w:r>
        <w:t>Put numbers on top of bars</w:t>
      </w:r>
    </w:p>
  </w:comment>
  <w:comment w:id="7" w:author="David Wessel" w:date="2020-12-14T15:49:00Z" w:initials="DW">
    <w:p w14:paraId="69391F59" w14:textId="75528558" w:rsidR="007C3E39" w:rsidRDefault="007C3E39">
      <w:pPr>
        <w:pStyle w:val="CommentText"/>
      </w:pPr>
      <w:r>
        <w:rPr>
          <w:rStyle w:val="CommentReference"/>
        </w:rPr>
        <w:annotationRef/>
      </w:r>
      <w:r>
        <w:t xml:space="preserve">Can we use Dharmapala data from chart </w:t>
      </w:r>
      <w:proofErr w:type="spellStart"/>
      <w:r>
        <w:t>abov</w:t>
      </w:r>
      <w:proofErr w:type="spellEnd"/>
      <w:r>
        <w:t xml:space="preserve"> e? </w:t>
      </w:r>
    </w:p>
  </w:comment>
  <w:comment w:id="8" w:author="Stephanie Cencula" w:date="2021-01-25T13:30:00Z" w:initials="SC">
    <w:p w14:paraId="2ECF55BA" w14:textId="60E06CEA" w:rsidR="00886DA7" w:rsidRDefault="00886DA7">
      <w:pPr>
        <w:pStyle w:val="CommentText"/>
      </w:pPr>
      <w:r>
        <w:rPr>
          <w:rStyle w:val="CommentReference"/>
        </w:rPr>
        <w:annotationRef/>
      </w:r>
      <w:r>
        <w:t>Not sure what this note means…</w:t>
      </w:r>
      <w:r w:rsidR="00E52B77">
        <w:t>use the data how? You’ve already included the Dharmapala chart (figure 11-1).</w:t>
      </w:r>
    </w:p>
  </w:comment>
  <w:comment w:id="9" w:author="David Wessel" w:date="2021-01-25T13:44:00Z" w:initials="DW">
    <w:p w14:paraId="6DA6274C" w14:textId="4D56989C" w:rsidR="008062B4" w:rsidRDefault="008062B4">
      <w:pPr>
        <w:pStyle w:val="CommentText"/>
      </w:pPr>
      <w:r>
        <w:rPr>
          <w:rStyle w:val="CommentReference"/>
        </w:rPr>
        <w:annotationRef/>
      </w:r>
      <w:r w:rsidR="001D071E">
        <w:t>I think these numbers are not the same as the ones in Dharmapala’</w:t>
      </w:r>
    </w:p>
  </w:comment>
  <w:comment w:id="10" w:author="Stephanie Cencula" w:date="2021-01-25T14:00:00Z" w:initials="SC">
    <w:p w14:paraId="57B5ABF2" w14:textId="6ED7FC73" w:rsidR="009828ED" w:rsidRDefault="009828ED">
      <w:pPr>
        <w:pStyle w:val="CommentText"/>
      </w:pPr>
      <w:r>
        <w:rPr>
          <w:rStyle w:val="CommentReference"/>
        </w:rPr>
        <w:annotationRef/>
      </w:r>
      <w:r>
        <w:t>OK, so the Dharmapala chart is ok as is… but you need to revisit this section of 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644720" w15:done="0"/>
  <w15:commentEx w15:paraId="68F3A10E" w15:done="0"/>
  <w15:commentEx w15:paraId="7D6FBA06" w15:done="0"/>
  <w15:commentEx w15:paraId="4CD83B47" w15:done="0"/>
  <w15:commentEx w15:paraId="6A8FA51D" w15:done="0"/>
  <w15:commentEx w15:paraId="5C58B51B" w15:done="0"/>
  <w15:commentEx w15:paraId="62E8EC71" w15:done="0"/>
  <w15:commentEx w15:paraId="69391F59" w15:done="0"/>
  <w15:commentEx w15:paraId="2ECF55BA" w15:paraIdParent="69391F59" w15:done="0"/>
  <w15:commentEx w15:paraId="6DA6274C" w15:paraIdParent="69391F59" w15:done="0"/>
  <w15:commentEx w15:paraId="57B5ABF2" w15:paraIdParent="69391F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F98FD" w16cex:dateUtc="2020-11-30T21:14:00Z"/>
  <w16cex:commentExtensible w16cex:durableId="23B94917" w16cex:dateUtc="2021-01-25T18:41:00Z"/>
  <w16cex:commentExtensible w16cex:durableId="23B94918" w16cex:dateUtc="2021-01-25T18:41:00Z"/>
  <w16cex:commentExtensible w16cex:durableId="238206E8" w16cex:dateUtc="2020-12-14T20:44:00Z"/>
  <w16cex:commentExtensible w16cex:durableId="23820707" w16cex:dateUtc="2020-12-14T20:45:00Z"/>
  <w16cex:commentExtensible w16cex:durableId="2382073C" w16cex:dateUtc="2020-12-14T20:46:00Z"/>
  <w16cex:commentExtensible w16cex:durableId="23B94958" w16cex:dateUtc="2021-01-25T18:42:00Z"/>
  <w16cex:commentExtensible w16cex:durableId="23B94963" w16cex:dateUtc="2021-01-25T18:42:00Z"/>
  <w16cex:commentExtensible w16cex:durableId="2370B02C" w16cex:dateUtc="2020-12-01T17:06:00Z"/>
  <w16cex:commentExtensible w16cex:durableId="23B9498F" w16cex:dateUtc="2021-01-25T18:43:00Z"/>
  <w16cex:commentExtensible w16cex:durableId="23820779" w16cex:dateUtc="2020-12-14T20:47:00Z"/>
  <w16cex:commentExtensible w16cex:durableId="23831C60" w16cex:dateUtc="2020-12-15T16:28:00Z"/>
  <w16cex:commentExtensible w16cex:durableId="23B949A1" w16cex:dateUtc="2021-01-25T18:44:00Z"/>
  <w16cex:commentExtensible w16cex:durableId="238207A2" w16cex:dateUtc="2020-12-14T20:47:00Z"/>
  <w16cex:commentExtensible w16cex:durableId="2382078C" w16cex:dateUtc="2020-12-14T20:47:00Z"/>
  <w16cex:commentExtensible w16cex:durableId="23B949BC" w16cex:dateUtc="2021-01-25T18:44:00Z"/>
  <w16cex:commentExtensible w16cex:durableId="23820806" w16cex:dateUtc="2020-12-14T20:49:00Z"/>
  <w16cex:commentExtensible w16cex:durableId="23B949CC" w16cex:dateUtc="2021-01-25T18: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644720" w16cid:durableId="23B94CD7"/>
  <w16cid:commentId w16cid:paraId="68F3A10E" w16cid:durableId="238206E8"/>
  <w16cid:commentId w16cid:paraId="7D6FBA06" w16cid:durableId="23820707"/>
  <w16cid:commentId w16cid:paraId="4CD83B47" w16cid:durableId="2382073C"/>
  <w16cid:commentId w16cid:paraId="6A8FA51D" w16cid:durableId="23820779"/>
  <w16cid:commentId w16cid:paraId="5C58B51B" w16cid:durableId="238207A2"/>
  <w16cid:commentId w16cid:paraId="62E8EC71" w16cid:durableId="2382078C"/>
  <w16cid:commentId w16cid:paraId="69391F59" w16cid:durableId="23820806"/>
  <w16cid:commentId w16cid:paraId="2ECF55BA" w16cid:durableId="23B94668"/>
  <w16cid:commentId w16cid:paraId="6DA6274C" w16cid:durableId="23B949CC"/>
  <w16cid:commentId w16cid:paraId="57B5ABF2" w16cid:durableId="23B94D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A12DFA" w14:textId="77777777" w:rsidR="008416AD" w:rsidRDefault="008416AD">
      <w:r>
        <w:separator/>
      </w:r>
    </w:p>
  </w:endnote>
  <w:endnote w:type="continuationSeparator" w:id="0">
    <w:p w14:paraId="1D53A209" w14:textId="77777777" w:rsidR="008416AD" w:rsidRDefault="008416AD">
      <w:r>
        <w:continuationSeparator/>
      </w:r>
    </w:p>
  </w:endnote>
  <w:endnote w:type="continuationNotice" w:id="1">
    <w:p w14:paraId="2935F4B7" w14:textId="77777777" w:rsidR="008416AD" w:rsidRDefault="008416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abon-Roman">
    <w:altName w:val="Calibri"/>
    <w:panose1 w:val="00000000000000000000"/>
    <w:charset w:val="4D"/>
    <w:family w:val="auto"/>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Times">
    <w:altName w:val="﷽﷽﷽﷽﷽﷽﷽﷽"/>
    <w:panose1 w:val="02020603050405020304"/>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953BD" w14:textId="77777777" w:rsidR="008C3A5C" w:rsidRDefault="008C3A5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31</w:t>
    </w:r>
    <w:r>
      <w:rPr>
        <w:rStyle w:val="PageNumber"/>
      </w:rPr>
      <w:fldChar w:fldCharType="end"/>
    </w:r>
  </w:p>
  <w:p w14:paraId="22EE6542" w14:textId="77777777" w:rsidR="008C3A5C" w:rsidRDefault="008C3A5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71D29" w14:textId="77777777" w:rsidR="008C3A5C" w:rsidRDefault="008C3A5C" w:rsidP="008C3A5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B3A2DE" w14:textId="77777777" w:rsidR="008416AD" w:rsidRDefault="008416AD">
      <w:r>
        <w:separator/>
      </w:r>
    </w:p>
  </w:footnote>
  <w:footnote w:type="continuationSeparator" w:id="0">
    <w:p w14:paraId="2DA90241" w14:textId="77777777" w:rsidR="008416AD" w:rsidRDefault="008416AD">
      <w:r>
        <w:continuationSeparator/>
      </w:r>
    </w:p>
  </w:footnote>
  <w:footnote w:type="continuationNotice" w:id="1">
    <w:p w14:paraId="69C18E21" w14:textId="77777777" w:rsidR="008416AD" w:rsidRDefault="008416AD"/>
  </w:footnote>
  <w:footnote w:id="2">
    <w:p w14:paraId="39217EA7" w14:textId="21223C4A" w:rsidR="00DF68F8" w:rsidRDefault="00DF68F8" w:rsidP="007910C9">
      <w:pPr>
        <w:pStyle w:val="FootnoteText"/>
      </w:pPr>
      <w:r>
        <w:rPr>
          <w:rStyle w:val="FootnoteReference"/>
        </w:rPr>
        <w:footnoteRef/>
      </w:r>
      <w:r>
        <w:t xml:space="preserve"> </w:t>
      </w:r>
      <w:r w:rsidR="007910C9" w:rsidRPr="007910C9">
        <w:t>C. Fritz Foley</w:t>
      </w:r>
      <w:r w:rsidR="007910C9">
        <w:t xml:space="preserve">, James R. Hines Jr., and </w:t>
      </w:r>
      <w:r w:rsidR="007910C9" w:rsidRPr="007910C9">
        <w:t>David Wessel</w:t>
      </w:r>
      <w:r w:rsidR="007910C9">
        <w:t xml:space="preserve"> eds.</w:t>
      </w:r>
      <w:r w:rsidR="007910C9" w:rsidRPr="007910C9">
        <w:rPr>
          <w:i/>
        </w:rPr>
        <w:t xml:space="preserve"> </w:t>
      </w:r>
      <w:r w:rsidR="007910C9" w:rsidRPr="008829AA">
        <w:rPr>
          <w:i/>
        </w:rPr>
        <w:t>Global Goliaths: Multinational Corporations in the 21</w:t>
      </w:r>
      <w:r w:rsidR="007910C9" w:rsidRPr="008829AA">
        <w:rPr>
          <w:i/>
          <w:vertAlign w:val="superscript"/>
        </w:rPr>
        <w:t>st</w:t>
      </w:r>
      <w:r w:rsidR="007910C9" w:rsidRPr="008829AA">
        <w:rPr>
          <w:i/>
        </w:rPr>
        <w:t xml:space="preserve"> Century Economy</w:t>
      </w:r>
      <w:r w:rsidR="007910C9" w:rsidRPr="007910C9">
        <w:t xml:space="preserve"> (Washington, DC: Brookings, forthcoming).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7C605C"/>
    <w:multiLevelType w:val="hybridMultilevel"/>
    <w:tmpl w:val="927AEF70"/>
    <w:lvl w:ilvl="0" w:tplc="7A4421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88D6836"/>
    <w:multiLevelType w:val="hybridMultilevel"/>
    <w:tmpl w:val="42FC37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phanie Cencula">
    <w15:presenceInfo w15:providerId="AD" w15:userId="S::SCencula@brookings.edu::0628a038-8375-40bb-9d31-e37ca889b37a"/>
  </w15:person>
  <w15:person w15:author="David Wessel">
    <w15:presenceInfo w15:providerId="AD" w15:userId="S::dwessel@brookings.edu::ccb472b7-686c-4155-a47e-adf1380124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US" w:vendorID="64" w:dllVersion="5" w:nlCheck="1" w:checkStyle="1"/>
  <w:activeWritingStyle w:appName="MSWord" w:lang="en-US" w:vendorID="64" w:dllVersion="6" w:nlCheck="1" w:checkStyle="1"/>
  <w:activeWritingStyle w:appName="MSWord" w:lang="es-VE" w:vendorID="64" w:dllVersion="6" w:nlCheck="1" w:checkStyle="1"/>
  <w:activeWritingStyle w:appName="MSWord" w:lang="fr-FR" w:vendorID="64" w:dllVersion="6" w:nlCheck="1" w:checkStyle="0"/>
  <w:activeWritingStyle w:appName="MSWord" w:lang="es-MX"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508"/>
    <w:rsid w:val="00001637"/>
    <w:rsid w:val="000060E1"/>
    <w:rsid w:val="00006AD0"/>
    <w:rsid w:val="00007ADE"/>
    <w:rsid w:val="0001020D"/>
    <w:rsid w:val="00012E50"/>
    <w:rsid w:val="000154FF"/>
    <w:rsid w:val="00015B5D"/>
    <w:rsid w:val="0002039B"/>
    <w:rsid w:val="00021881"/>
    <w:rsid w:val="00021DB0"/>
    <w:rsid w:val="00025ACD"/>
    <w:rsid w:val="00025CA7"/>
    <w:rsid w:val="0003183C"/>
    <w:rsid w:val="00033786"/>
    <w:rsid w:val="000365B3"/>
    <w:rsid w:val="00040DD2"/>
    <w:rsid w:val="0004188F"/>
    <w:rsid w:val="00046876"/>
    <w:rsid w:val="00047282"/>
    <w:rsid w:val="00047899"/>
    <w:rsid w:val="00050513"/>
    <w:rsid w:val="000515C1"/>
    <w:rsid w:val="000527FD"/>
    <w:rsid w:val="000543D1"/>
    <w:rsid w:val="0005530D"/>
    <w:rsid w:val="00055A3D"/>
    <w:rsid w:val="00061138"/>
    <w:rsid w:val="000611DE"/>
    <w:rsid w:val="00062867"/>
    <w:rsid w:val="000706C5"/>
    <w:rsid w:val="00071C4E"/>
    <w:rsid w:val="00074933"/>
    <w:rsid w:val="00075128"/>
    <w:rsid w:val="00075D2B"/>
    <w:rsid w:val="0008016A"/>
    <w:rsid w:val="00081EDC"/>
    <w:rsid w:val="00082B8B"/>
    <w:rsid w:val="00084EA0"/>
    <w:rsid w:val="00085712"/>
    <w:rsid w:val="00093440"/>
    <w:rsid w:val="00093BCA"/>
    <w:rsid w:val="00094BDF"/>
    <w:rsid w:val="000952E4"/>
    <w:rsid w:val="00095E68"/>
    <w:rsid w:val="0009701B"/>
    <w:rsid w:val="000B02D3"/>
    <w:rsid w:val="000B31FF"/>
    <w:rsid w:val="000C027C"/>
    <w:rsid w:val="000C08F0"/>
    <w:rsid w:val="000C09E1"/>
    <w:rsid w:val="000C6963"/>
    <w:rsid w:val="000C78C3"/>
    <w:rsid w:val="000D6F5C"/>
    <w:rsid w:val="000E01FC"/>
    <w:rsid w:val="000E1C8E"/>
    <w:rsid w:val="000E5075"/>
    <w:rsid w:val="000E6686"/>
    <w:rsid w:val="000E7CDC"/>
    <w:rsid w:val="000F0249"/>
    <w:rsid w:val="000F149E"/>
    <w:rsid w:val="000F357A"/>
    <w:rsid w:val="000F3951"/>
    <w:rsid w:val="000F3F82"/>
    <w:rsid w:val="000F5D53"/>
    <w:rsid w:val="000F7C76"/>
    <w:rsid w:val="00100713"/>
    <w:rsid w:val="00105159"/>
    <w:rsid w:val="00106E5E"/>
    <w:rsid w:val="00107432"/>
    <w:rsid w:val="00107F04"/>
    <w:rsid w:val="00112717"/>
    <w:rsid w:val="00115F20"/>
    <w:rsid w:val="001165FD"/>
    <w:rsid w:val="00120540"/>
    <w:rsid w:val="00130D5C"/>
    <w:rsid w:val="00133BBC"/>
    <w:rsid w:val="0013778C"/>
    <w:rsid w:val="00146220"/>
    <w:rsid w:val="00150757"/>
    <w:rsid w:val="00150D5B"/>
    <w:rsid w:val="00151BC2"/>
    <w:rsid w:val="0015224B"/>
    <w:rsid w:val="00154447"/>
    <w:rsid w:val="001560D1"/>
    <w:rsid w:val="0016223E"/>
    <w:rsid w:val="00162922"/>
    <w:rsid w:val="0016309D"/>
    <w:rsid w:val="00163205"/>
    <w:rsid w:val="00167046"/>
    <w:rsid w:val="00167F90"/>
    <w:rsid w:val="001712C1"/>
    <w:rsid w:val="00174126"/>
    <w:rsid w:val="001763A5"/>
    <w:rsid w:val="00176D5A"/>
    <w:rsid w:val="0017788E"/>
    <w:rsid w:val="00177E95"/>
    <w:rsid w:val="0018345E"/>
    <w:rsid w:val="0018442A"/>
    <w:rsid w:val="001862B1"/>
    <w:rsid w:val="00190E7E"/>
    <w:rsid w:val="00192237"/>
    <w:rsid w:val="00192E08"/>
    <w:rsid w:val="00192F36"/>
    <w:rsid w:val="00195F30"/>
    <w:rsid w:val="001A13BC"/>
    <w:rsid w:val="001A1AD6"/>
    <w:rsid w:val="001A4209"/>
    <w:rsid w:val="001A447E"/>
    <w:rsid w:val="001A6900"/>
    <w:rsid w:val="001B75DA"/>
    <w:rsid w:val="001C2C19"/>
    <w:rsid w:val="001D01BD"/>
    <w:rsid w:val="001D071E"/>
    <w:rsid w:val="001D1365"/>
    <w:rsid w:val="001D32C9"/>
    <w:rsid w:val="001D4AF1"/>
    <w:rsid w:val="001D5452"/>
    <w:rsid w:val="001E1E4B"/>
    <w:rsid w:val="001E42AF"/>
    <w:rsid w:val="001F3B7B"/>
    <w:rsid w:val="001F5DEB"/>
    <w:rsid w:val="002012A6"/>
    <w:rsid w:val="00201E40"/>
    <w:rsid w:val="00214222"/>
    <w:rsid w:val="00215874"/>
    <w:rsid w:val="00215DDF"/>
    <w:rsid w:val="00216D4A"/>
    <w:rsid w:val="002175A6"/>
    <w:rsid w:val="0022059C"/>
    <w:rsid w:val="0022273D"/>
    <w:rsid w:val="00226125"/>
    <w:rsid w:val="002308E5"/>
    <w:rsid w:val="0023137F"/>
    <w:rsid w:val="00233282"/>
    <w:rsid w:val="00233BB9"/>
    <w:rsid w:val="00235BFA"/>
    <w:rsid w:val="002479BB"/>
    <w:rsid w:val="00251C45"/>
    <w:rsid w:val="0025472B"/>
    <w:rsid w:val="00260EB9"/>
    <w:rsid w:val="002643E6"/>
    <w:rsid w:val="002666DC"/>
    <w:rsid w:val="0026753E"/>
    <w:rsid w:val="00271A1B"/>
    <w:rsid w:val="00291371"/>
    <w:rsid w:val="00291B98"/>
    <w:rsid w:val="00291E07"/>
    <w:rsid w:val="002958F3"/>
    <w:rsid w:val="00296AD7"/>
    <w:rsid w:val="00297823"/>
    <w:rsid w:val="002A0B58"/>
    <w:rsid w:val="002A56DF"/>
    <w:rsid w:val="002B1912"/>
    <w:rsid w:val="002B61FE"/>
    <w:rsid w:val="002C6136"/>
    <w:rsid w:val="002C6366"/>
    <w:rsid w:val="002D2F67"/>
    <w:rsid w:val="002D3B8E"/>
    <w:rsid w:val="002E0FCD"/>
    <w:rsid w:val="002E32BF"/>
    <w:rsid w:val="002E5246"/>
    <w:rsid w:val="002E74A4"/>
    <w:rsid w:val="002E75E3"/>
    <w:rsid w:val="002F31BE"/>
    <w:rsid w:val="0030061C"/>
    <w:rsid w:val="00303BA4"/>
    <w:rsid w:val="00304795"/>
    <w:rsid w:val="003119B3"/>
    <w:rsid w:val="00311D43"/>
    <w:rsid w:val="00315118"/>
    <w:rsid w:val="00317833"/>
    <w:rsid w:val="00323699"/>
    <w:rsid w:val="00323DB6"/>
    <w:rsid w:val="00324435"/>
    <w:rsid w:val="00326B90"/>
    <w:rsid w:val="0033088C"/>
    <w:rsid w:val="00332626"/>
    <w:rsid w:val="00334E66"/>
    <w:rsid w:val="00337562"/>
    <w:rsid w:val="00337D60"/>
    <w:rsid w:val="0034404C"/>
    <w:rsid w:val="00344A83"/>
    <w:rsid w:val="00350F4A"/>
    <w:rsid w:val="003521A3"/>
    <w:rsid w:val="00361B04"/>
    <w:rsid w:val="00361CBF"/>
    <w:rsid w:val="00372B9A"/>
    <w:rsid w:val="0037599A"/>
    <w:rsid w:val="00375A54"/>
    <w:rsid w:val="00381906"/>
    <w:rsid w:val="00381AF0"/>
    <w:rsid w:val="00384ABC"/>
    <w:rsid w:val="00386D43"/>
    <w:rsid w:val="00391D90"/>
    <w:rsid w:val="003941C3"/>
    <w:rsid w:val="00394E38"/>
    <w:rsid w:val="00395C43"/>
    <w:rsid w:val="00397A09"/>
    <w:rsid w:val="003A239B"/>
    <w:rsid w:val="003A37C8"/>
    <w:rsid w:val="003B22EA"/>
    <w:rsid w:val="003B321A"/>
    <w:rsid w:val="003B3ABC"/>
    <w:rsid w:val="003D0392"/>
    <w:rsid w:val="003D5BE7"/>
    <w:rsid w:val="003E11A7"/>
    <w:rsid w:val="003E2124"/>
    <w:rsid w:val="003E66D6"/>
    <w:rsid w:val="003F2BDB"/>
    <w:rsid w:val="003F51A3"/>
    <w:rsid w:val="003F6499"/>
    <w:rsid w:val="004039DA"/>
    <w:rsid w:val="00403FD8"/>
    <w:rsid w:val="004048D4"/>
    <w:rsid w:val="0040548A"/>
    <w:rsid w:val="00407C65"/>
    <w:rsid w:val="0041194E"/>
    <w:rsid w:val="004137EC"/>
    <w:rsid w:val="00416F78"/>
    <w:rsid w:val="00422202"/>
    <w:rsid w:val="00423146"/>
    <w:rsid w:val="004232F9"/>
    <w:rsid w:val="0042695B"/>
    <w:rsid w:val="004325E0"/>
    <w:rsid w:val="00437D7F"/>
    <w:rsid w:val="00441B03"/>
    <w:rsid w:val="004463E0"/>
    <w:rsid w:val="0045486D"/>
    <w:rsid w:val="00455EB1"/>
    <w:rsid w:val="00457217"/>
    <w:rsid w:val="00457927"/>
    <w:rsid w:val="00465670"/>
    <w:rsid w:val="004674A3"/>
    <w:rsid w:val="00471F16"/>
    <w:rsid w:val="004744F8"/>
    <w:rsid w:val="0047604D"/>
    <w:rsid w:val="00480853"/>
    <w:rsid w:val="004818FC"/>
    <w:rsid w:val="0048346C"/>
    <w:rsid w:val="004918E2"/>
    <w:rsid w:val="00495BB2"/>
    <w:rsid w:val="00496215"/>
    <w:rsid w:val="004A1458"/>
    <w:rsid w:val="004A3409"/>
    <w:rsid w:val="004A57DF"/>
    <w:rsid w:val="004A7779"/>
    <w:rsid w:val="004B2CBD"/>
    <w:rsid w:val="004B343D"/>
    <w:rsid w:val="004B5A66"/>
    <w:rsid w:val="004C040F"/>
    <w:rsid w:val="004C231F"/>
    <w:rsid w:val="004D23DA"/>
    <w:rsid w:val="004D2FEB"/>
    <w:rsid w:val="004D3464"/>
    <w:rsid w:val="004D4CD9"/>
    <w:rsid w:val="004D7328"/>
    <w:rsid w:val="004D7F25"/>
    <w:rsid w:val="004E7E79"/>
    <w:rsid w:val="004F2A6D"/>
    <w:rsid w:val="00501FEF"/>
    <w:rsid w:val="00503AAD"/>
    <w:rsid w:val="00506CF3"/>
    <w:rsid w:val="0051046A"/>
    <w:rsid w:val="005119F1"/>
    <w:rsid w:val="00514D88"/>
    <w:rsid w:val="00520497"/>
    <w:rsid w:val="005219DF"/>
    <w:rsid w:val="00522FDB"/>
    <w:rsid w:val="0052528D"/>
    <w:rsid w:val="00527A58"/>
    <w:rsid w:val="00531204"/>
    <w:rsid w:val="005321A8"/>
    <w:rsid w:val="00533308"/>
    <w:rsid w:val="00541190"/>
    <w:rsid w:val="00541DA3"/>
    <w:rsid w:val="0054272A"/>
    <w:rsid w:val="00546461"/>
    <w:rsid w:val="0054662D"/>
    <w:rsid w:val="005478F2"/>
    <w:rsid w:val="005525D0"/>
    <w:rsid w:val="00556AD3"/>
    <w:rsid w:val="00556DFC"/>
    <w:rsid w:val="005605DA"/>
    <w:rsid w:val="00560772"/>
    <w:rsid w:val="0056364D"/>
    <w:rsid w:val="00563782"/>
    <w:rsid w:val="00564E85"/>
    <w:rsid w:val="00566468"/>
    <w:rsid w:val="00570D94"/>
    <w:rsid w:val="00572205"/>
    <w:rsid w:val="005736C2"/>
    <w:rsid w:val="00573AD8"/>
    <w:rsid w:val="00575B6F"/>
    <w:rsid w:val="00576665"/>
    <w:rsid w:val="005804FB"/>
    <w:rsid w:val="0058481A"/>
    <w:rsid w:val="00584C63"/>
    <w:rsid w:val="005909C0"/>
    <w:rsid w:val="005925A9"/>
    <w:rsid w:val="00595C0B"/>
    <w:rsid w:val="00595CAE"/>
    <w:rsid w:val="00595E88"/>
    <w:rsid w:val="00596540"/>
    <w:rsid w:val="005A2DFF"/>
    <w:rsid w:val="005A358D"/>
    <w:rsid w:val="005A7F4F"/>
    <w:rsid w:val="005B251B"/>
    <w:rsid w:val="005B3F9A"/>
    <w:rsid w:val="005C122C"/>
    <w:rsid w:val="005D3550"/>
    <w:rsid w:val="005D60CF"/>
    <w:rsid w:val="005D7AAD"/>
    <w:rsid w:val="005E1E82"/>
    <w:rsid w:val="005E3466"/>
    <w:rsid w:val="005E499B"/>
    <w:rsid w:val="005E687F"/>
    <w:rsid w:val="005E6B23"/>
    <w:rsid w:val="005F39DB"/>
    <w:rsid w:val="005F558B"/>
    <w:rsid w:val="005F5858"/>
    <w:rsid w:val="005F7178"/>
    <w:rsid w:val="00602A69"/>
    <w:rsid w:val="00604E9C"/>
    <w:rsid w:val="00607E72"/>
    <w:rsid w:val="006121A0"/>
    <w:rsid w:val="00612868"/>
    <w:rsid w:val="0061675D"/>
    <w:rsid w:val="0061760E"/>
    <w:rsid w:val="00620E73"/>
    <w:rsid w:val="00623846"/>
    <w:rsid w:val="00625058"/>
    <w:rsid w:val="00625087"/>
    <w:rsid w:val="0063026E"/>
    <w:rsid w:val="00643FBB"/>
    <w:rsid w:val="006467EC"/>
    <w:rsid w:val="006534F8"/>
    <w:rsid w:val="00653A02"/>
    <w:rsid w:val="006559F4"/>
    <w:rsid w:val="00656A40"/>
    <w:rsid w:val="00656EAE"/>
    <w:rsid w:val="00657191"/>
    <w:rsid w:val="0066104E"/>
    <w:rsid w:val="00662B5C"/>
    <w:rsid w:val="006672A0"/>
    <w:rsid w:val="0067125D"/>
    <w:rsid w:val="00672953"/>
    <w:rsid w:val="00677D2F"/>
    <w:rsid w:val="006807B8"/>
    <w:rsid w:val="006811FB"/>
    <w:rsid w:val="0068174E"/>
    <w:rsid w:val="00682C0E"/>
    <w:rsid w:val="00684F91"/>
    <w:rsid w:val="00685CE6"/>
    <w:rsid w:val="00691FC2"/>
    <w:rsid w:val="00693244"/>
    <w:rsid w:val="00693A83"/>
    <w:rsid w:val="00693B8B"/>
    <w:rsid w:val="00696370"/>
    <w:rsid w:val="00696FFD"/>
    <w:rsid w:val="006A5567"/>
    <w:rsid w:val="006A7D2C"/>
    <w:rsid w:val="006B0482"/>
    <w:rsid w:val="006B0E71"/>
    <w:rsid w:val="006B380E"/>
    <w:rsid w:val="006C37C5"/>
    <w:rsid w:val="006C45F0"/>
    <w:rsid w:val="006C50BA"/>
    <w:rsid w:val="006C6C42"/>
    <w:rsid w:val="006D133D"/>
    <w:rsid w:val="006D2E9C"/>
    <w:rsid w:val="006D3BED"/>
    <w:rsid w:val="006D5EFA"/>
    <w:rsid w:val="006D6BF6"/>
    <w:rsid w:val="006E084F"/>
    <w:rsid w:val="006E1F2C"/>
    <w:rsid w:val="006F1264"/>
    <w:rsid w:val="006F1CCA"/>
    <w:rsid w:val="006F2537"/>
    <w:rsid w:val="006F2C3C"/>
    <w:rsid w:val="006F5BC0"/>
    <w:rsid w:val="006F645F"/>
    <w:rsid w:val="00702602"/>
    <w:rsid w:val="00712A78"/>
    <w:rsid w:val="0072122B"/>
    <w:rsid w:val="007216AC"/>
    <w:rsid w:val="0072177F"/>
    <w:rsid w:val="0072285A"/>
    <w:rsid w:val="00723117"/>
    <w:rsid w:val="007238CB"/>
    <w:rsid w:val="0072447E"/>
    <w:rsid w:val="00724C75"/>
    <w:rsid w:val="00726F08"/>
    <w:rsid w:val="00740602"/>
    <w:rsid w:val="00742F01"/>
    <w:rsid w:val="00745C4B"/>
    <w:rsid w:val="007466AD"/>
    <w:rsid w:val="007523E0"/>
    <w:rsid w:val="00753451"/>
    <w:rsid w:val="00755057"/>
    <w:rsid w:val="007574AF"/>
    <w:rsid w:val="00762008"/>
    <w:rsid w:val="0076270D"/>
    <w:rsid w:val="007638B9"/>
    <w:rsid w:val="00763B40"/>
    <w:rsid w:val="00766341"/>
    <w:rsid w:val="00772C93"/>
    <w:rsid w:val="0077764B"/>
    <w:rsid w:val="00785414"/>
    <w:rsid w:val="007856C7"/>
    <w:rsid w:val="00790584"/>
    <w:rsid w:val="007910C9"/>
    <w:rsid w:val="00792049"/>
    <w:rsid w:val="00796006"/>
    <w:rsid w:val="00796871"/>
    <w:rsid w:val="007A18AD"/>
    <w:rsid w:val="007A1BAC"/>
    <w:rsid w:val="007A7781"/>
    <w:rsid w:val="007A77A9"/>
    <w:rsid w:val="007A7871"/>
    <w:rsid w:val="007B30B4"/>
    <w:rsid w:val="007B55F5"/>
    <w:rsid w:val="007C0C4B"/>
    <w:rsid w:val="007C217F"/>
    <w:rsid w:val="007C21F0"/>
    <w:rsid w:val="007C3D9A"/>
    <w:rsid w:val="007C3E39"/>
    <w:rsid w:val="007C52CC"/>
    <w:rsid w:val="007D1723"/>
    <w:rsid w:val="007D37B5"/>
    <w:rsid w:val="007D42AF"/>
    <w:rsid w:val="007E17FA"/>
    <w:rsid w:val="007E48EE"/>
    <w:rsid w:val="007E5C07"/>
    <w:rsid w:val="007E5D55"/>
    <w:rsid w:val="007E6983"/>
    <w:rsid w:val="007F0390"/>
    <w:rsid w:val="007F3299"/>
    <w:rsid w:val="007F4FAF"/>
    <w:rsid w:val="007F537E"/>
    <w:rsid w:val="007F6AD7"/>
    <w:rsid w:val="00801C8F"/>
    <w:rsid w:val="008034C6"/>
    <w:rsid w:val="008035B4"/>
    <w:rsid w:val="0080439D"/>
    <w:rsid w:val="008062B4"/>
    <w:rsid w:val="00812D0A"/>
    <w:rsid w:val="00816C91"/>
    <w:rsid w:val="00825C75"/>
    <w:rsid w:val="0082610C"/>
    <w:rsid w:val="00826FE0"/>
    <w:rsid w:val="0083450E"/>
    <w:rsid w:val="00835728"/>
    <w:rsid w:val="008416AD"/>
    <w:rsid w:val="00842163"/>
    <w:rsid w:val="00843A61"/>
    <w:rsid w:val="00843C61"/>
    <w:rsid w:val="0085359A"/>
    <w:rsid w:val="00857E79"/>
    <w:rsid w:val="0086560D"/>
    <w:rsid w:val="0086790F"/>
    <w:rsid w:val="00874F57"/>
    <w:rsid w:val="00875D12"/>
    <w:rsid w:val="008768F7"/>
    <w:rsid w:val="008810F4"/>
    <w:rsid w:val="008829AA"/>
    <w:rsid w:val="00883418"/>
    <w:rsid w:val="00886448"/>
    <w:rsid w:val="00886DA7"/>
    <w:rsid w:val="00887EFE"/>
    <w:rsid w:val="00887F87"/>
    <w:rsid w:val="008904BD"/>
    <w:rsid w:val="008950C0"/>
    <w:rsid w:val="008A29E8"/>
    <w:rsid w:val="008A39F1"/>
    <w:rsid w:val="008A498A"/>
    <w:rsid w:val="008A4A65"/>
    <w:rsid w:val="008A6131"/>
    <w:rsid w:val="008A62D5"/>
    <w:rsid w:val="008B0D75"/>
    <w:rsid w:val="008B3006"/>
    <w:rsid w:val="008B44F0"/>
    <w:rsid w:val="008B5BCC"/>
    <w:rsid w:val="008B5E54"/>
    <w:rsid w:val="008C1CC5"/>
    <w:rsid w:val="008C1CE0"/>
    <w:rsid w:val="008C205E"/>
    <w:rsid w:val="008C3A5C"/>
    <w:rsid w:val="008C4734"/>
    <w:rsid w:val="008C51F8"/>
    <w:rsid w:val="008C5638"/>
    <w:rsid w:val="008D406D"/>
    <w:rsid w:val="008D4654"/>
    <w:rsid w:val="008D6E65"/>
    <w:rsid w:val="008D77AB"/>
    <w:rsid w:val="008E11DA"/>
    <w:rsid w:val="008E147C"/>
    <w:rsid w:val="008E33CD"/>
    <w:rsid w:val="008F5272"/>
    <w:rsid w:val="008F66FE"/>
    <w:rsid w:val="00911997"/>
    <w:rsid w:val="00911D92"/>
    <w:rsid w:val="00912FC6"/>
    <w:rsid w:val="00916386"/>
    <w:rsid w:val="00916E26"/>
    <w:rsid w:val="00922698"/>
    <w:rsid w:val="00923ADE"/>
    <w:rsid w:val="00924315"/>
    <w:rsid w:val="00924522"/>
    <w:rsid w:val="00924952"/>
    <w:rsid w:val="00925FB7"/>
    <w:rsid w:val="00931D2A"/>
    <w:rsid w:val="009333A2"/>
    <w:rsid w:val="009348E4"/>
    <w:rsid w:val="009349D8"/>
    <w:rsid w:val="009374EE"/>
    <w:rsid w:val="009422CA"/>
    <w:rsid w:val="0094263A"/>
    <w:rsid w:val="00952FC1"/>
    <w:rsid w:val="00954808"/>
    <w:rsid w:val="0095653B"/>
    <w:rsid w:val="009606F7"/>
    <w:rsid w:val="00961E15"/>
    <w:rsid w:val="00963508"/>
    <w:rsid w:val="009703C1"/>
    <w:rsid w:val="00971941"/>
    <w:rsid w:val="00972715"/>
    <w:rsid w:val="0097325B"/>
    <w:rsid w:val="009800D9"/>
    <w:rsid w:val="009814CF"/>
    <w:rsid w:val="009828ED"/>
    <w:rsid w:val="00983D23"/>
    <w:rsid w:val="009849CA"/>
    <w:rsid w:val="00984DD5"/>
    <w:rsid w:val="00987744"/>
    <w:rsid w:val="009A00AF"/>
    <w:rsid w:val="009A2AF9"/>
    <w:rsid w:val="009B086A"/>
    <w:rsid w:val="009B33D8"/>
    <w:rsid w:val="009B5BAF"/>
    <w:rsid w:val="009B6A7D"/>
    <w:rsid w:val="009C13B7"/>
    <w:rsid w:val="009C2EBE"/>
    <w:rsid w:val="009D26FF"/>
    <w:rsid w:val="009D2EE9"/>
    <w:rsid w:val="009D4540"/>
    <w:rsid w:val="009D59BF"/>
    <w:rsid w:val="009D7893"/>
    <w:rsid w:val="009E0AD0"/>
    <w:rsid w:val="009E1075"/>
    <w:rsid w:val="009F58BA"/>
    <w:rsid w:val="009F6100"/>
    <w:rsid w:val="009F633D"/>
    <w:rsid w:val="00A00499"/>
    <w:rsid w:val="00A00BA5"/>
    <w:rsid w:val="00A021CF"/>
    <w:rsid w:val="00A0343E"/>
    <w:rsid w:val="00A04B5D"/>
    <w:rsid w:val="00A0734A"/>
    <w:rsid w:val="00A11B2E"/>
    <w:rsid w:val="00A12294"/>
    <w:rsid w:val="00A13327"/>
    <w:rsid w:val="00A137EF"/>
    <w:rsid w:val="00A15D75"/>
    <w:rsid w:val="00A179D0"/>
    <w:rsid w:val="00A20A79"/>
    <w:rsid w:val="00A259FC"/>
    <w:rsid w:val="00A263FE"/>
    <w:rsid w:val="00A26A49"/>
    <w:rsid w:val="00A26DC6"/>
    <w:rsid w:val="00A31722"/>
    <w:rsid w:val="00A45764"/>
    <w:rsid w:val="00A468CE"/>
    <w:rsid w:val="00A544F7"/>
    <w:rsid w:val="00A576D3"/>
    <w:rsid w:val="00A60E53"/>
    <w:rsid w:val="00A63F45"/>
    <w:rsid w:val="00A65A68"/>
    <w:rsid w:val="00A66D0F"/>
    <w:rsid w:val="00A725DE"/>
    <w:rsid w:val="00A72E06"/>
    <w:rsid w:val="00A75C11"/>
    <w:rsid w:val="00A76895"/>
    <w:rsid w:val="00A77E64"/>
    <w:rsid w:val="00A8082F"/>
    <w:rsid w:val="00A83924"/>
    <w:rsid w:val="00A83CC7"/>
    <w:rsid w:val="00A87B10"/>
    <w:rsid w:val="00A963DA"/>
    <w:rsid w:val="00A96B67"/>
    <w:rsid w:val="00AA07C2"/>
    <w:rsid w:val="00AA1D0E"/>
    <w:rsid w:val="00AA32BD"/>
    <w:rsid w:val="00AA3384"/>
    <w:rsid w:val="00AA55F9"/>
    <w:rsid w:val="00AB1238"/>
    <w:rsid w:val="00AB17D8"/>
    <w:rsid w:val="00AB22E6"/>
    <w:rsid w:val="00AB414A"/>
    <w:rsid w:val="00AB4DAC"/>
    <w:rsid w:val="00AB7A7A"/>
    <w:rsid w:val="00AC1056"/>
    <w:rsid w:val="00AC1F9C"/>
    <w:rsid w:val="00AC2208"/>
    <w:rsid w:val="00AC253A"/>
    <w:rsid w:val="00AC3F29"/>
    <w:rsid w:val="00AD00A1"/>
    <w:rsid w:val="00AD5503"/>
    <w:rsid w:val="00AD6CF3"/>
    <w:rsid w:val="00AD73C6"/>
    <w:rsid w:val="00AE08E2"/>
    <w:rsid w:val="00AE1215"/>
    <w:rsid w:val="00AE140B"/>
    <w:rsid w:val="00AE2BE9"/>
    <w:rsid w:val="00AE3148"/>
    <w:rsid w:val="00AE4E7D"/>
    <w:rsid w:val="00AE6557"/>
    <w:rsid w:val="00AF0BA9"/>
    <w:rsid w:val="00AF1924"/>
    <w:rsid w:val="00AF527D"/>
    <w:rsid w:val="00B043FA"/>
    <w:rsid w:val="00B139F8"/>
    <w:rsid w:val="00B14961"/>
    <w:rsid w:val="00B14992"/>
    <w:rsid w:val="00B15E6E"/>
    <w:rsid w:val="00B1642D"/>
    <w:rsid w:val="00B165C2"/>
    <w:rsid w:val="00B2059C"/>
    <w:rsid w:val="00B209F9"/>
    <w:rsid w:val="00B21136"/>
    <w:rsid w:val="00B25788"/>
    <w:rsid w:val="00B25EF5"/>
    <w:rsid w:val="00B34A2D"/>
    <w:rsid w:val="00B35AFC"/>
    <w:rsid w:val="00B369D8"/>
    <w:rsid w:val="00B4269F"/>
    <w:rsid w:val="00B43587"/>
    <w:rsid w:val="00B444AD"/>
    <w:rsid w:val="00B45BB8"/>
    <w:rsid w:val="00B51284"/>
    <w:rsid w:val="00B53918"/>
    <w:rsid w:val="00B53F85"/>
    <w:rsid w:val="00B64E80"/>
    <w:rsid w:val="00B67C32"/>
    <w:rsid w:val="00B72CEA"/>
    <w:rsid w:val="00B736C2"/>
    <w:rsid w:val="00B76703"/>
    <w:rsid w:val="00B76EC2"/>
    <w:rsid w:val="00B81D64"/>
    <w:rsid w:val="00B86599"/>
    <w:rsid w:val="00B877CA"/>
    <w:rsid w:val="00B91BCB"/>
    <w:rsid w:val="00B96FD2"/>
    <w:rsid w:val="00B972CD"/>
    <w:rsid w:val="00BA14B2"/>
    <w:rsid w:val="00BA5F6E"/>
    <w:rsid w:val="00BB05C9"/>
    <w:rsid w:val="00BB33CF"/>
    <w:rsid w:val="00BB3D05"/>
    <w:rsid w:val="00BB3D3B"/>
    <w:rsid w:val="00BB630E"/>
    <w:rsid w:val="00BB7896"/>
    <w:rsid w:val="00BC021F"/>
    <w:rsid w:val="00BC3F67"/>
    <w:rsid w:val="00BC7A0F"/>
    <w:rsid w:val="00BD1386"/>
    <w:rsid w:val="00BD7ED7"/>
    <w:rsid w:val="00BE02A2"/>
    <w:rsid w:val="00BE088D"/>
    <w:rsid w:val="00BE3DD1"/>
    <w:rsid w:val="00BF014E"/>
    <w:rsid w:val="00BF0680"/>
    <w:rsid w:val="00C001AB"/>
    <w:rsid w:val="00C01F86"/>
    <w:rsid w:val="00C021E7"/>
    <w:rsid w:val="00C0348A"/>
    <w:rsid w:val="00C0351A"/>
    <w:rsid w:val="00C06006"/>
    <w:rsid w:val="00C17FC3"/>
    <w:rsid w:val="00C233C1"/>
    <w:rsid w:val="00C2471D"/>
    <w:rsid w:val="00C30BC7"/>
    <w:rsid w:val="00C45852"/>
    <w:rsid w:val="00C47A8C"/>
    <w:rsid w:val="00C47D67"/>
    <w:rsid w:val="00C5040F"/>
    <w:rsid w:val="00C51D76"/>
    <w:rsid w:val="00C51FAC"/>
    <w:rsid w:val="00C632B6"/>
    <w:rsid w:val="00C805A5"/>
    <w:rsid w:val="00C8159A"/>
    <w:rsid w:val="00C8187C"/>
    <w:rsid w:val="00C8424A"/>
    <w:rsid w:val="00C859A4"/>
    <w:rsid w:val="00C859C4"/>
    <w:rsid w:val="00C87C9F"/>
    <w:rsid w:val="00C939D2"/>
    <w:rsid w:val="00C93EC2"/>
    <w:rsid w:val="00C941E0"/>
    <w:rsid w:val="00CA75B1"/>
    <w:rsid w:val="00CB1DF1"/>
    <w:rsid w:val="00CB3247"/>
    <w:rsid w:val="00CB45C6"/>
    <w:rsid w:val="00CC2A4F"/>
    <w:rsid w:val="00CC2C7D"/>
    <w:rsid w:val="00CC7BDF"/>
    <w:rsid w:val="00CD02DF"/>
    <w:rsid w:val="00CD1076"/>
    <w:rsid w:val="00CD4EFF"/>
    <w:rsid w:val="00CD6071"/>
    <w:rsid w:val="00CD614C"/>
    <w:rsid w:val="00CD6455"/>
    <w:rsid w:val="00CE281F"/>
    <w:rsid w:val="00CE5DF8"/>
    <w:rsid w:val="00CE70EF"/>
    <w:rsid w:val="00CE74E3"/>
    <w:rsid w:val="00CF3D85"/>
    <w:rsid w:val="00CF42D2"/>
    <w:rsid w:val="00D004DD"/>
    <w:rsid w:val="00D00E1A"/>
    <w:rsid w:val="00D062D0"/>
    <w:rsid w:val="00D0728E"/>
    <w:rsid w:val="00D0788A"/>
    <w:rsid w:val="00D1091E"/>
    <w:rsid w:val="00D10D8D"/>
    <w:rsid w:val="00D1119D"/>
    <w:rsid w:val="00D1146E"/>
    <w:rsid w:val="00D15AF5"/>
    <w:rsid w:val="00D15CA4"/>
    <w:rsid w:val="00D15EEF"/>
    <w:rsid w:val="00D20321"/>
    <w:rsid w:val="00D2726A"/>
    <w:rsid w:val="00D30C14"/>
    <w:rsid w:val="00D35845"/>
    <w:rsid w:val="00D406F2"/>
    <w:rsid w:val="00D42C4C"/>
    <w:rsid w:val="00D45197"/>
    <w:rsid w:val="00D46343"/>
    <w:rsid w:val="00D4685D"/>
    <w:rsid w:val="00D4770D"/>
    <w:rsid w:val="00D578E1"/>
    <w:rsid w:val="00D61D5F"/>
    <w:rsid w:val="00D62D28"/>
    <w:rsid w:val="00D65876"/>
    <w:rsid w:val="00D65CA8"/>
    <w:rsid w:val="00D67C18"/>
    <w:rsid w:val="00D70027"/>
    <w:rsid w:val="00D71481"/>
    <w:rsid w:val="00D72386"/>
    <w:rsid w:val="00D72D2B"/>
    <w:rsid w:val="00D800B4"/>
    <w:rsid w:val="00D80448"/>
    <w:rsid w:val="00D80575"/>
    <w:rsid w:val="00D860A3"/>
    <w:rsid w:val="00D924EE"/>
    <w:rsid w:val="00D937C9"/>
    <w:rsid w:val="00D95392"/>
    <w:rsid w:val="00D95E3B"/>
    <w:rsid w:val="00DA02A4"/>
    <w:rsid w:val="00DA1D04"/>
    <w:rsid w:val="00DA2723"/>
    <w:rsid w:val="00DA2CBB"/>
    <w:rsid w:val="00DA2EBE"/>
    <w:rsid w:val="00DA35CD"/>
    <w:rsid w:val="00DB1640"/>
    <w:rsid w:val="00DB2F9A"/>
    <w:rsid w:val="00DC0469"/>
    <w:rsid w:val="00DC07E6"/>
    <w:rsid w:val="00DC354E"/>
    <w:rsid w:val="00DC3C9F"/>
    <w:rsid w:val="00DC4EC8"/>
    <w:rsid w:val="00DC5E1D"/>
    <w:rsid w:val="00DD0775"/>
    <w:rsid w:val="00DD2D28"/>
    <w:rsid w:val="00DE547F"/>
    <w:rsid w:val="00DE5F15"/>
    <w:rsid w:val="00DE5F64"/>
    <w:rsid w:val="00DE6B04"/>
    <w:rsid w:val="00DF0A3C"/>
    <w:rsid w:val="00DF0B1D"/>
    <w:rsid w:val="00DF14FE"/>
    <w:rsid w:val="00DF1B57"/>
    <w:rsid w:val="00DF2134"/>
    <w:rsid w:val="00DF68F8"/>
    <w:rsid w:val="00DF700F"/>
    <w:rsid w:val="00E047BF"/>
    <w:rsid w:val="00E11784"/>
    <w:rsid w:val="00E12CB0"/>
    <w:rsid w:val="00E15943"/>
    <w:rsid w:val="00E16DDE"/>
    <w:rsid w:val="00E2070E"/>
    <w:rsid w:val="00E234B5"/>
    <w:rsid w:val="00E23E78"/>
    <w:rsid w:val="00E262AF"/>
    <w:rsid w:val="00E26C89"/>
    <w:rsid w:val="00E3025D"/>
    <w:rsid w:val="00E340B1"/>
    <w:rsid w:val="00E3451F"/>
    <w:rsid w:val="00E36715"/>
    <w:rsid w:val="00E36C37"/>
    <w:rsid w:val="00E413B7"/>
    <w:rsid w:val="00E41FD5"/>
    <w:rsid w:val="00E4493B"/>
    <w:rsid w:val="00E45BF8"/>
    <w:rsid w:val="00E52B77"/>
    <w:rsid w:val="00E532DB"/>
    <w:rsid w:val="00E534E0"/>
    <w:rsid w:val="00E5371A"/>
    <w:rsid w:val="00E54F25"/>
    <w:rsid w:val="00E55AA7"/>
    <w:rsid w:val="00E56720"/>
    <w:rsid w:val="00E5675D"/>
    <w:rsid w:val="00E60DB2"/>
    <w:rsid w:val="00E61FE7"/>
    <w:rsid w:val="00E62ECF"/>
    <w:rsid w:val="00E64C99"/>
    <w:rsid w:val="00E64F2B"/>
    <w:rsid w:val="00E65125"/>
    <w:rsid w:val="00E70D17"/>
    <w:rsid w:val="00E75CFD"/>
    <w:rsid w:val="00E774CE"/>
    <w:rsid w:val="00E8155E"/>
    <w:rsid w:val="00E8235B"/>
    <w:rsid w:val="00E84413"/>
    <w:rsid w:val="00E853AE"/>
    <w:rsid w:val="00E920B2"/>
    <w:rsid w:val="00E92284"/>
    <w:rsid w:val="00E97736"/>
    <w:rsid w:val="00EA1598"/>
    <w:rsid w:val="00EA311F"/>
    <w:rsid w:val="00EA3E72"/>
    <w:rsid w:val="00EB11B9"/>
    <w:rsid w:val="00EB1220"/>
    <w:rsid w:val="00EB1494"/>
    <w:rsid w:val="00EB437E"/>
    <w:rsid w:val="00EB4F51"/>
    <w:rsid w:val="00EB568B"/>
    <w:rsid w:val="00EB74DF"/>
    <w:rsid w:val="00EC6F86"/>
    <w:rsid w:val="00ED2112"/>
    <w:rsid w:val="00ED2362"/>
    <w:rsid w:val="00ED69F3"/>
    <w:rsid w:val="00EE104A"/>
    <w:rsid w:val="00EE23F5"/>
    <w:rsid w:val="00EE32B1"/>
    <w:rsid w:val="00EE3400"/>
    <w:rsid w:val="00EF0881"/>
    <w:rsid w:val="00EF16A4"/>
    <w:rsid w:val="00EF3DA5"/>
    <w:rsid w:val="00EF7D9D"/>
    <w:rsid w:val="00F010BA"/>
    <w:rsid w:val="00F01932"/>
    <w:rsid w:val="00F071D1"/>
    <w:rsid w:val="00F15D74"/>
    <w:rsid w:val="00F212B3"/>
    <w:rsid w:val="00F215DB"/>
    <w:rsid w:val="00F226D5"/>
    <w:rsid w:val="00F25BA3"/>
    <w:rsid w:val="00F330E8"/>
    <w:rsid w:val="00F419B3"/>
    <w:rsid w:val="00F545C4"/>
    <w:rsid w:val="00F56956"/>
    <w:rsid w:val="00F608A4"/>
    <w:rsid w:val="00F60F0B"/>
    <w:rsid w:val="00F62852"/>
    <w:rsid w:val="00F628C7"/>
    <w:rsid w:val="00F6789C"/>
    <w:rsid w:val="00F73EFD"/>
    <w:rsid w:val="00F82702"/>
    <w:rsid w:val="00F86289"/>
    <w:rsid w:val="00F9250A"/>
    <w:rsid w:val="00F9283D"/>
    <w:rsid w:val="00F9438A"/>
    <w:rsid w:val="00F95739"/>
    <w:rsid w:val="00FA077A"/>
    <w:rsid w:val="00FA71B9"/>
    <w:rsid w:val="00FA7E74"/>
    <w:rsid w:val="00FB1540"/>
    <w:rsid w:val="00FB2EBF"/>
    <w:rsid w:val="00FB4B9D"/>
    <w:rsid w:val="00FB4CA9"/>
    <w:rsid w:val="00FB6B67"/>
    <w:rsid w:val="00FC3834"/>
    <w:rsid w:val="00FC6ABE"/>
    <w:rsid w:val="00FD2E06"/>
    <w:rsid w:val="00FD3473"/>
    <w:rsid w:val="00FD4D18"/>
    <w:rsid w:val="00FE16C5"/>
    <w:rsid w:val="00FE34C6"/>
    <w:rsid w:val="00FE41E9"/>
    <w:rsid w:val="00FE4E09"/>
    <w:rsid w:val="00FF2B95"/>
    <w:rsid w:val="00FF4B63"/>
    <w:rsid w:val="00FF5245"/>
    <w:rsid w:val="00FF63D8"/>
    <w:rsid w:val="200195C9"/>
    <w:rsid w:val="202E9EC5"/>
    <w:rsid w:val="5CBEAB90"/>
    <w:rsid w:val="5ECAEC49"/>
    <w:rsid w:val="6CDF02BF"/>
    <w:rsid w:val="70368F3A"/>
    <w:rsid w:val="716B9DE7"/>
    <w:rsid w:val="78DCE7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71C28E"/>
  <w15:docId w15:val="{81B63DC3-7407-47EF-B083-CB6A71D7B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lang w:eastAsia="en-US"/>
    </w:rPr>
  </w:style>
  <w:style w:type="paragraph" w:styleId="Heading1">
    <w:name w:val="heading 1"/>
    <w:basedOn w:val="Normal"/>
    <w:next w:val="Normal"/>
    <w:link w:val="Heading1Char"/>
    <w:uiPriority w:val="9"/>
    <w:qFormat/>
    <w:pPr>
      <w:keepNext/>
      <w:jc w:val="center"/>
      <w:outlineLvl w:val="0"/>
    </w:pPr>
    <w:rPr>
      <w:b/>
      <w:i/>
    </w:rPr>
  </w:style>
  <w:style w:type="paragraph" w:styleId="Heading2">
    <w:name w:val="heading 2"/>
    <w:basedOn w:val="Normal"/>
    <w:next w:val="Normal"/>
    <w:link w:val="Heading2Char"/>
    <w:uiPriority w:val="9"/>
    <w:qFormat/>
    <w:pPr>
      <w:keepNext/>
      <w:jc w:val="center"/>
      <w:outlineLvl w:val="1"/>
    </w:pPr>
  </w:style>
  <w:style w:type="paragraph" w:styleId="Heading3">
    <w:name w:val="heading 3"/>
    <w:basedOn w:val="Normal"/>
    <w:next w:val="Normal"/>
    <w:link w:val="Heading3Char"/>
    <w:uiPriority w:val="9"/>
    <w:qFormat/>
    <w:pPr>
      <w:keepNext/>
      <w:jc w:val="right"/>
      <w:outlineLvl w:val="2"/>
    </w:pPr>
    <w:rPr>
      <w:i/>
      <w:iCs/>
    </w:rPr>
  </w:style>
  <w:style w:type="paragraph" w:styleId="Heading4">
    <w:name w:val="heading 4"/>
    <w:basedOn w:val="Normal"/>
    <w:next w:val="Normal"/>
    <w:link w:val="Heading4Char"/>
    <w:uiPriority w:val="9"/>
    <w:qFormat/>
    <w:pPr>
      <w:keepNext/>
      <w:spacing w:before="120" w:line="480" w:lineRule="auto"/>
      <w:outlineLvl w:val="3"/>
    </w:pPr>
    <w:rPr>
      <w:b/>
      <w:bCs/>
      <w:i/>
      <w:iCs/>
    </w:rPr>
  </w:style>
  <w:style w:type="paragraph" w:styleId="Heading5">
    <w:name w:val="heading 5"/>
    <w:basedOn w:val="Normal"/>
    <w:next w:val="Normal"/>
    <w:link w:val="Heading5Char"/>
    <w:qFormat/>
    <w:pPr>
      <w:keepNext/>
      <w:jc w:val="center"/>
      <w:outlineLvl w:val="4"/>
    </w:pPr>
    <w:rPr>
      <w:b/>
      <w:bCs/>
      <w:sz w:val="36"/>
    </w:rPr>
  </w:style>
  <w:style w:type="paragraph" w:styleId="Heading6">
    <w:name w:val="heading 6"/>
    <w:basedOn w:val="Normal"/>
    <w:next w:val="Normal"/>
    <w:link w:val="Heading6Char"/>
    <w:uiPriority w:val="9"/>
    <w:semiHidden/>
    <w:unhideWhenUsed/>
    <w:qFormat/>
    <w:rsid w:val="00C30BC7"/>
    <w:pPr>
      <w:widowControl w:val="0"/>
      <w:spacing w:line="271" w:lineRule="auto"/>
      <w:ind w:left="1152" w:hanging="1152"/>
      <w:jc w:val="both"/>
      <w:outlineLvl w:val="5"/>
    </w:pPr>
    <w:rPr>
      <w:rFonts w:asciiTheme="majorHAnsi" w:eastAsiaTheme="majorEastAsia" w:hAnsiTheme="majorHAnsi" w:cstheme="majorBidi"/>
      <w:b/>
      <w:bCs/>
      <w:i/>
      <w:iCs/>
      <w:color w:val="7F7F7F" w:themeColor="text1" w:themeTint="80"/>
      <w:sz w:val="22"/>
      <w:szCs w:val="22"/>
    </w:rPr>
  </w:style>
  <w:style w:type="paragraph" w:styleId="Heading7">
    <w:name w:val="heading 7"/>
    <w:basedOn w:val="Normal"/>
    <w:next w:val="Normal"/>
    <w:link w:val="Heading7Char"/>
    <w:uiPriority w:val="9"/>
    <w:semiHidden/>
    <w:unhideWhenUsed/>
    <w:qFormat/>
    <w:rsid w:val="00C30BC7"/>
    <w:pPr>
      <w:widowControl w:val="0"/>
      <w:spacing w:line="480" w:lineRule="auto"/>
      <w:ind w:left="1296" w:hanging="1296"/>
      <w:jc w:val="both"/>
      <w:outlineLvl w:val="6"/>
    </w:pPr>
    <w:rPr>
      <w:rFonts w:asciiTheme="majorHAnsi" w:eastAsiaTheme="majorEastAsia" w:hAnsiTheme="majorHAnsi" w:cstheme="majorBidi"/>
      <w:i/>
      <w:iCs/>
      <w:sz w:val="22"/>
      <w:szCs w:val="22"/>
    </w:rPr>
  </w:style>
  <w:style w:type="paragraph" w:styleId="Heading8">
    <w:name w:val="heading 8"/>
    <w:basedOn w:val="Normal"/>
    <w:next w:val="Normal"/>
    <w:link w:val="Heading8Char"/>
    <w:uiPriority w:val="9"/>
    <w:semiHidden/>
    <w:unhideWhenUsed/>
    <w:qFormat/>
    <w:rsid w:val="00C30BC7"/>
    <w:pPr>
      <w:widowControl w:val="0"/>
      <w:spacing w:line="480" w:lineRule="auto"/>
      <w:ind w:left="1440" w:hanging="1440"/>
      <w:jc w:val="both"/>
      <w:outlineLvl w:val="7"/>
    </w:pPr>
    <w:rPr>
      <w:rFonts w:asciiTheme="majorHAnsi" w:eastAsiaTheme="majorEastAsia" w:hAnsiTheme="majorHAnsi" w:cstheme="majorBidi"/>
      <w:sz w:val="20"/>
    </w:rPr>
  </w:style>
  <w:style w:type="paragraph" w:styleId="Heading9">
    <w:name w:val="heading 9"/>
    <w:basedOn w:val="Normal"/>
    <w:next w:val="Normal"/>
    <w:link w:val="Heading9Char"/>
    <w:uiPriority w:val="9"/>
    <w:semiHidden/>
    <w:unhideWhenUsed/>
    <w:qFormat/>
    <w:rsid w:val="00C30BC7"/>
    <w:pPr>
      <w:widowControl w:val="0"/>
      <w:spacing w:line="480" w:lineRule="auto"/>
      <w:ind w:left="1584" w:hanging="1584"/>
      <w:jc w:val="both"/>
      <w:outlineLvl w:val="8"/>
    </w:pPr>
    <w:rPr>
      <w:rFonts w:asciiTheme="majorHAnsi" w:eastAsiaTheme="majorEastAsia" w:hAnsiTheme="majorHAnsi" w:cstheme="majorBidi"/>
      <w:i/>
      <w:iCs/>
      <w:spacing w:val="5"/>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semiHidden/>
    <w:pPr>
      <w:framePr w:w="7920" w:h="1980" w:hRule="exact" w:hSpace="180" w:wrap="auto" w:hAnchor="page" w:xAlign="center" w:yAlign="bottom"/>
      <w:ind w:left="2880"/>
    </w:pPr>
    <w:rPr>
      <w:rFonts w:ascii="Helvetica" w:hAnsi="Helvetica"/>
      <w:b/>
    </w:rPr>
  </w:style>
  <w:style w:type="character" w:customStyle="1" w:styleId="MTEquationSection">
    <w:name w:val="MTEquationSection"/>
    <w:rPr>
      <w:b/>
      <w:bCs/>
      <w:vanish/>
      <w:color w:val="FF0000"/>
    </w:rPr>
  </w:style>
  <w:style w:type="paragraph" w:styleId="BodyTextIndent">
    <w:name w:val="Body Text Indent"/>
    <w:basedOn w:val="Normal"/>
    <w:link w:val="BodyTextIndentChar"/>
    <w:semiHidden/>
    <w:pPr>
      <w:spacing w:line="360" w:lineRule="auto"/>
      <w:ind w:firstLine="1714"/>
    </w:pPr>
  </w:style>
  <w:style w:type="paragraph" w:styleId="FootnoteText">
    <w:name w:val="footnote text"/>
    <w:basedOn w:val="Normal"/>
    <w:link w:val="FootnoteTextChar"/>
    <w:uiPriority w:val="99"/>
    <w:rPr>
      <w:sz w:val="20"/>
    </w:rPr>
  </w:style>
  <w:style w:type="character" w:styleId="FootnoteReference">
    <w:name w:val="footnote reference"/>
    <w:uiPriority w:val="99"/>
    <w:rPr>
      <w:vertAlign w:val="superscript"/>
    </w:rPr>
  </w:style>
  <w:style w:type="paragraph" w:styleId="BodyTextIndent2">
    <w:name w:val="Body Text Indent 2"/>
    <w:basedOn w:val="Normal"/>
    <w:link w:val="BodyTextIndent2Char"/>
    <w:semiHidden/>
    <w:pPr>
      <w:spacing w:before="120" w:line="480" w:lineRule="auto"/>
      <w:ind w:firstLine="720"/>
    </w:pPr>
  </w:style>
  <w:style w:type="paragraph" w:styleId="Title">
    <w:name w:val="Title"/>
    <w:basedOn w:val="Normal"/>
    <w:link w:val="TitleChar"/>
    <w:uiPriority w:val="10"/>
    <w:qFormat/>
    <w:pPr>
      <w:spacing w:before="120" w:line="480" w:lineRule="auto"/>
      <w:jc w:val="center"/>
    </w:pPr>
    <w:rPr>
      <w:b/>
      <w:bCs/>
      <w:sz w:val="28"/>
    </w:rPr>
  </w:style>
  <w:style w:type="paragraph" w:styleId="Header">
    <w:name w:val="header"/>
    <w:basedOn w:val="Normal"/>
    <w:link w:val="HeaderChar"/>
    <w:uiPriority w:val="99"/>
    <w:pPr>
      <w:tabs>
        <w:tab w:val="center" w:pos="4320"/>
        <w:tab w:val="right" w:pos="8640"/>
      </w:tabs>
    </w:pPr>
    <w:rPr>
      <w:sz w:val="20"/>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uiPriority w:val="99"/>
    <w:rPr>
      <w:color w:val="0000FF"/>
      <w:u w:val="single"/>
    </w:rPr>
  </w:style>
  <w:style w:type="paragraph" w:styleId="BodyTextIndent3">
    <w:name w:val="Body Text Indent 3"/>
    <w:basedOn w:val="Normal"/>
    <w:link w:val="BodyTextIndent3Char"/>
    <w:semiHidden/>
    <w:pPr>
      <w:ind w:left="720" w:hanging="720"/>
    </w:pPr>
  </w:style>
  <w:style w:type="paragraph" w:styleId="EndnoteText">
    <w:name w:val="endnote text"/>
    <w:basedOn w:val="Normal"/>
    <w:link w:val="EndnoteTextChar"/>
    <w:semiHidden/>
    <w:rPr>
      <w:sz w:val="20"/>
    </w:rPr>
  </w:style>
  <w:style w:type="character" w:styleId="EndnoteReference">
    <w:name w:val="endnote reference"/>
    <w:semiHidden/>
    <w:rPr>
      <w:vertAlign w:val="superscript"/>
    </w:rPr>
  </w:style>
  <w:style w:type="character" w:styleId="Emphasis">
    <w:name w:val="Emphasis"/>
    <w:uiPriority w:val="20"/>
    <w:qFormat/>
    <w:rPr>
      <w:i/>
      <w:iCs/>
    </w:rPr>
  </w:style>
  <w:style w:type="character" w:styleId="FollowedHyperlink">
    <w:name w:val="FollowedHyperlink"/>
    <w:uiPriority w:val="99"/>
    <w:semiHidden/>
    <w:rPr>
      <w:color w:val="800080"/>
      <w:u w:val="single"/>
    </w:rPr>
  </w:style>
  <w:style w:type="paragraph" w:styleId="BodyText">
    <w:name w:val="Body Text"/>
    <w:basedOn w:val="Normal"/>
    <w:link w:val="BodyTextChar"/>
    <w:uiPriority w:val="1"/>
    <w:qFormat/>
    <w:pPr>
      <w:spacing w:after="120"/>
    </w:pPr>
  </w:style>
  <w:style w:type="paragraph" w:styleId="BalloonText">
    <w:name w:val="Balloon Text"/>
    <w:basedOn w:val="Normal"/>
    <w:link w:val="BalloonTextChar"/>
    <w:uiPriority w:val="99"/>
    <w:semiHidden/>
    <w:rPr>
      <w:rFonts w:ascii="Tahoma" w:hAnsi="Tahoma" w:cs="Tahoma"/>
      <w:sz w:val="16"/>
      <w:szCs w:val="16"/>
    </w:rPr>
  </w:style>
  <w:style w:type="character" w:styleId="CommentReference">
    <w:name w:val="annotation reference"/>
    <w:uiPriority w:val="99"/>
    <w:semiHidden/>
    <w:unhideWhenUsed/>
    <w:rsid w:val="00B4269F"/>
    <w:rPr>
      <w:sz w:val="16"/>
      <w:szCs w:val="16"/>
    </w:rPr>
  </w:style>
  <w:style w:type="paragraph" w:styleId="CommentText">
    <w:name w:val="annotation text"/>
    <w:basedOn w:val="Normal"/>
    <w:link w:val="CommentTextChar"/>
    <w:uiPriority w:val="99"/>
    <w:unhideWhenUsed/>
    <w:rsid w:val="00B4269F"/>
    <w:rPr>
      <w:sz w:val="20"/>
    </w:rPr>
  </w:style>
  <w:style w:type="character" w:customStyle="1" w:styleId="CommentTextChar">
    <w:name w:val="Comment Text Char"/>
    <w:basedOn w:val="DefaultParagraphFont"/>
    <w:link w:val="CommentText"/>
    <w:uiPriority w:val="99"/>
    <w:rsid w:val="00B4269F"/>
  </w:style>
  <w:style w:type="paragraph" w:styleId="CommentSubject">
    <w:name w:val="annotation subject"/>
    <w:basedOn w:val="CommentText"/>
    <w:next w:val="CommentText"/>
    <w:link w:val="CommentSubjectChar"/>
    <w:uiPriority w:val="99"/>
    <w:semiHidden/>
    <w:unhideWhenUsed/>
    <w:rsid w:val="00B4269F"/>
    <w:rPr>
      <w:b/>
      <w:bCs/>
    </w:rPr>
  </w:style>
  <w:style w:type="character" w:customStyle="1" w:styleId="CommentSubjectChar">
    <w:name w:val="Comment Subject Char"/>
    <w:link w:val="CommentSubject"/>
    <w:uiPriority w:val="99"/>
    <w:semiHidden/>
    <w:rsid w:val="00B4269F"/>
    <w:rPr>
      <w:b/>
      <w:bCs/>
    </w:rPr>
  </w:style>
  <w:style w:type="character" w:customStyle="1" w:styleId="FootnoteTextChar">
    <w:name w:val="Footnote Text Char"/>
    <w:link w:val="FootnoteText"/>
    <w:uiPriority w:val="99"/>
    <w:rsid w:val="00EA1598"/>
  </w:style>
  <w:style w:type="paragraph" w:styleId="Revision">
    <w:name w:val="Revision"/>
    <w:hidden/>
    <w:uiPriority w:val="99"/>
    <w:semiHidden/>
    <w:rsid w:val="004232F9"/>
    <w:rPr>
      <w:sz w:val="24"/>
      <w:lang w:eastAsia="en-US"/>
    </w:rPr>
  </w:style>
  <w:style w:type="paragraph" w:styleId="ListParagraph">
    <w:name w:val="List Paragraph"/>
    <w:basedOn w:val="Normal"/>
    <w:uiPriority w:val="1"/>
    <w:qFormat/>
    <w:rsid w:val="00441B03"/>
    <w:pPr>
      <w:spacing w:after="160" w:line="259" w:lineRule="auto"/>
      <w:ind w:left="720"/>
      <w:contextualSpacing/>
    </w:pPr>
    <w:rPr>
      <w:rFonts w:ascii="Calibri" w:eastAsia="PMingLiU" w:hAnsi="Calibri"/>
      <w:sz w:val="22"/>
      <w:szCs w:val="22"/>
      <w:lang w:eastAsia="zh-TW"/>
    </w:rPr>
  </w:style>
  <w:style w:type="character" w:customStyle="1" w:styleId="UnresolvedMention1">
    <w:name w:val="Unresolved Mention1"/>
    <w:uiPriority w:val="99"/>
    <w:unhideWhenUsed/>
    <w:rsid w:val="00441B03"/>
    <w:rPr>
      <w:color w:val="605E5C"/>
      <w:shd w:val="clear" w:color="auto" w:fill="E1DFDD"/>
    </w:rPr>
  </w:style>
  <w:style w:type="paragraph" w:customStyle="1" w:styleId="paragraph">
    <w:name w:val="paragraph"/>
    <w:basedOn w:val="Normal"/>
    <w:rsid w:val="00F9283D"/>
    <w:pPr>
      <w:spacing w:before="100" w:beforeAutospacing="1" w:after="100" w:afterAutospacing="1"/>
    </w:pPr>
    <w:rPr>
      <w:szCs w:val="24"/>
    </w:rPr>
  </w:style>
  <w:style w:type="character" w:customStyle="1" w:styleId="normaltextrun">
    <w:name w:val="normaltextrun"/>
    <w:rsid w:val="00F9283D"/>
  </w:style>
  <w:style w:type="character" w:customStyle="1" w:styleId="eop">
    <w:name w:val="eop"/>
    <w:rsid w:val="00F9283D"/>
  </w:style>
  <w:style w:type="character" w:customStyle="1" w:styleId="BalloonTextChar">
    <w:name w:val="Balloon Text Char"/>
    <w:link w:val="BalloonText"/>
    <w:uiPriority w:val="99"/>
    <w:semiHidden/>
    <w:rsid w:val="00F9283D"/>
    <w:rPr>
      <w:rFonts w:ascii="Tahoma" w:hAnsi="Tahoma" w:cs="Tahoma"/>
      <w:sz w:val="16"/>
      <w:szCs w:val="16"/>
    </w:rPr>
  </w:style>
  <w:style w:type="character" w:customStyle="1" w:styleId="Heading6Char">
    <w:name w:val="Heading 6 Char"/>
    <w:basedOn w:val="DefaultParagraphFont"/>
    <w:link w:val="Heading6"/>
    <w:uiPriority w:val="9"/>
    <w:semiHidden/>
    <w:rsid w:val="00C30BC7"/>
    <w:rPr>
      <w:rFonts w:asciiTheme="majorHAnsi" w:eastAsiaTheme="majorEastAsia" w:hAnsiTheme="majorHAnsi" w:cstheme="majorBidi"/>
      <w:b/>
      <w:bCs/>
      <w:i/>
      <w:iCs/>
      <w:color w:val="7F7F7F" w:themeColor="text1" w:themeTint="80"/>
      <w:sz w:val="22"/>
      <w:szCs w:val="22"/>
      <w:lang w:eastAsia="en-US"/>
    </w:rPr>
  </w:style>
  <w:style w:type="character" w:customStyle="1" w:styleId="Heading7Char">
    <w:name w:val="Heading 7 Char"/>
    <w:basedOn w:val="DefaultParagraphFont"/>
    <w:link w:val="Heading7"/>
    <w:uiPriority w:val="9"/>
    <w:semiHidden/>
    <w:rsid w:val="00C30BC7"/>
    <w:rPr>
      <w:rFonts w:asciiTheme="majorHAnsi" w:eastAsiaTheme="majorEastAsia" w:hAnsiTheme="majorHAnsi" w:cstheme="majorBidi"/>
      <w:i/>
      <w:iCs/>
      <w:sz w:val="22"/>
      <w:szCs w:val="22"/>
      <w:lang w:eastAsia="en-US"/>
    </w:rPr>
  </w:style>
  <w:style w:type="character" w:customStyle="1" w:styleId="Heading8Char">
    <w:name w:val="Heading 8 Char"/>
    <w:basedOn w:val="DefaultParagraphFont"/>
    <w:link w:val="Heading8"/>
    <w:uiPriority w:val="9"/>
    <w:semiHidden/>
    <w:rsid w:val="00C30BC7"/>
    <w:rPr>
      <w:rFonts w:asciiTheme="majorHAnsi" w:eastAsiaTheme="majorEastAsia" w:hAnsiTheme="majorHAnsi" w:cstheme="majorBidi"/>
      <w:lang w:eastAsia="en-US"/>
    </w:rPr>
  </w:style>
  <w:style w:type="character" w:customStyle="1" w:styleId="Heading9Char">
    <w:name w:val="Heading 9 Char"/>
    <w:basedOn w:val="DefaultParagraphFont"/>
    <w:link w:val="Heading9"/>
    <w:uiPriority w:val="9"/>
    <w:semiHidden/>
    <w:rsid w:val="00C30BC7"/>
    <w:rPr>
      <w:rFonts w:asciiTheme="majorHAnsi" w:eastAsiaTheme="majorEastAsia" w:hAnsiTheme="majorHAnsi" w:cstheme="majorBidi"/>
      <w:i/>
      <w:iCs/>
      <w:spacing w:val="5"/>
      <w:lang w:eastAsia="en-US"/>
    </w:rPr>
  </w:style>
  <w:style w:type="character" w:customStyle="1" w:styleId="Heading1Char">
    <w:name w:val="Heading 1 Char"/>
    <w:basedOn w:val="DefaultParagraphFont"/>
    <w:link w:val="Heading1"/>
    <w:uiPriority w:val="9"/>
    <w:rsid w:val="00C30BC7"/>
    <w:rPr>
      <w:b/>
      <w:i/>
      <w:sz w:val="24"/>
      <w:lang w:eastAsia="en-US"/>
    </w:rPr>
  </w:style>
  <w:style w:type="paragraph" w:customStyle="1" w:styleId="DocumentType">
    <w:name w:val="..Document Type"/>
    <w:basedOn w:val="Normal"/>
    <w:rsid w:val="00C30BC7"/>
    <w:pPr>
      <w:spacing w:line="220" w:lineRule="atLeast"/>
    </w:pPr>
    <w:rPr>
      <w:rFonts w:ascii="Arial" w:eastAsia="Batang" w:hAnsi="Arial"/>
      <w:b/>
      <w:caps/>
      <w:color w:val="294875"/>
      <w:sz w:val="20"/>
      <w:szCs w:val="24"/>
    </w:rPr>
  </w:style>
  <w:style w:type="paragraph" w:customStyle="1" w:styleId="TitlePageImprint">
    <w:name w:val="Title Page_Imprint"/>
    <w:basedOn w:val="BodyText"/>
    <w:uiPriority w:val="99"/>
    <w:rsid w:val="00C30BC7"/>
    <w:pPr>
      <w:widowControl w:val="0"/>
      <w:suppressAutoHyphens/>
      <w:autoSpaceDE w:val="0"/>
      <w:autoSpaceDN w:val="0"/>
      <w:adjustRightInd w:val="0"/>
      <w:spacing w:before="3460" w:after="0" w:line="300" w:lineRule="atLeast"/>
      <w:jc w:val="center"/>
      <w:textAlignment w:val="center"/>
    </w:pPr>
    <w:rPr>
      <w:rFonts w:ascii="Sabon-Roman" w:eastAsiaTheme="minorEastAsia" w:hAnsi="Sabon-Roman" w:cs="Sabon-Roman"/>
      <w:caps/>
      <w:color w:val="000000"/>
      <w:spacing w:val="12"/>
      <w:sz w:val="20"/>
    </w:rPr>
  </w:style>
  <w:style w:type="paragraph" w:customStyle="1" w:styleId="Copyright">
    <w:name w:val="Copyright"/>
    <w:basedOn w:val="BodyText"/>
    <w:uiPriority w:val="99"/>
    <w:rsid w:val="00C30BC7"/>
    <w:pPr>
      <w:widowControl w:val="0"/>
      <w:autoSpaceDE w:val="0"/>
      <w:autoSpaceDN w:val="0"/>
      <w:adjustRightInd w:val="0"/>
      <w:spacing w:after="0" w:line="220" w:lineRule="atLeast"/>
      <w:ind w:left="560" w:right="560"/>
      <w:jc w:val="both"/>
      <w:textAlignment w:val="center"/>
    </w:pPr>
    <w:rPr>
      <w:rFonts w:ascii="Sabon-Roman" w:eastAsiaTheme="minorEastAsia" w:hAnsi="Sabon-Roman" w:cs="Sabon-Roman"/>
      <w:color w:val="000000"/>
      <w:sz w:val="18"/>
      <w:szCs w:val="18"/>
    </w:rPr>
  </w:style>
  <w:style w:type="paragraph" w:customStyle="1" w:styleId="CopyrightFollowingBreak">
    <w:name w:val="Copyright_Following Break"/>
    <w:basedOn w:val="Copyright"/>
    <w:uiPriority w:val="99"/>
    <w:rsid w:val="00C30BC7"/>
    <w:pPr>
      <w:spacing w:before="220"/>
    </w:pPr>
  </w:style>
  <w:style w:type="character" w:customStyle="1" w:styleId="Italic">
    <w:name w:val="Italic"/>
    <w:uiPriority w:val="99"/>
    <w:rsid w:val="00C30BC7"/>
    <w:rPr>
      <w:i/>
      <w:iCs/>
    </w:rPr>
  </w:style>
  <w:style w:type="character" w:customStyle="1" w:styleId="BodyTextChar">
    <w:name w:val="Body Text Char"/>
    <w:basedOn w:val="DefaultParagraphFont"/>
    <w:link w:val="BodyText"/>
    <w:uiPriority w:val="1"/>
    <w:rsid w:val="00C30BC7"/>
    <w:rPr>
      <w:sz w:val="24"/>
      <w:lang w:eastAsia="en-US"/>
    </w:rPr>
  </w:style>
  <w:style w:type="character" w:customStyle="1" w:styleId="Heading2Char">
    <w:name w:val="Heading 2 Char"/>
    <w:basedOn w:val="DefaultParagraphFont"/>
    <w:link w:val="Heading2"/>
    <w:uiPriority w:val="9"/>
    <w:rsid w:val="00C30BC7"/>
    <w:rPr>
      <w:sz w:val="24"/>
      <w:lang w:eastAsia="en-US"/>
    </w:rPr>
  </w:style>
  <w:style w:type="character" w:customStyle="1" w:styleId="Heading3Char">
    <w:name w:val="Heading 3 Char"/>
    <w:basedOn w:val="DefaultParagraphFont"/>
    <w:link w:val="Heading3"/>
    <w:uiPriority w:val="9"/>
    <w:rsid w:val="00C30BC7"/>
    <w:rPr>
      <w:i/>
      <w:iCs/>
      <w:sz w:val="24"/>
      <w:lang w:eastAsia="en-US"/>
    </w:rPr>
  </w:style>
  <w:style w:type="character" w:customStyle="1" w:styleId="Heading4Char">
    <w:name w:val="Heading 4 Char"/>
    <w:basedOn w:val="DefaultParagraphFont"/>
    <w:link w:val="Heading4"/>
    <w:uiPriority w:val="9"/>
    <w:rsid w:val="00C30BC7"/>
    <w:rPr>
      <w:b/>
      <w:bCs/>
      <w:i/>
      <w:iCs/>
      <w:sz w:val="24"/>
      <w:lang w:eastAsia="en-US"/>
    </w:rPr>
  </w:style>
  <w:style w:type="character" w:customStyle="1" w:styleId="Heading5Char">
    <w:name w:val="Heading 5 Char"/>
    <w:basedOn w:val="DefaultParagraphFont"/>
    <w:link w:val="Heading5"/>
    <w:uiPriority w:val="9"/>
    <w:rsid w:val="00C30BC7"/>
    <w:rPr>
      <w:b/>
      <w:bCs/>
      <w:sz w:val="36"/>
      <w:lang w:eastAsia="en-US"/>
    </w:rPr>
  </w:style>
  <w:style w:type="character" w:customStyle="1" w:styleId="BodyTextIndentChar">
    <w:name w:val="Body Text Indent Char"/>
    <w:basedOn w:val="DefaultParagraphFont"/>
    <w:link w:val="BodyTextIndent"/>
    <w:semiHidden/>
    <w:rsid w:val="00C30BC7"/>
    <w:rPr>
      <w:sz w:val="24"/>
      <w:lang w:eastAsia="en-US"/>
    </w:rPr>
  </w:style>
  <w:style w:type="character" w:customStyle="1" w:styleId="BodyTextIndent2Char">
    <w:name w:val="Body Text Indent 2 Char"/>
    <w:basedOn w:val="DefaultParagraphFont"/>
    <w:link w:val="BodyTextIndent2"/>
    <w:semiHidden/>
    <w:rsid w:val="00C30BC7"/>
    <w:rPr>
      <w:sz w:val="24"/>
      <w:lang w:eastAsia="en-US"/>
    </w:rPr>
  </w:style>
  <w:style w:type="character" w:customStyle="1" w:styleId="TitleChar">
    <w:name w:val="Title Char"/>
    <w:basedOn w:val="DefaultParagraphFont"/>
    <w:link w:val="Title"/>
    <w:uiPriority w:val="10"/>
    <w:rsid w:val="00C30BC7"/>
    <w:rPr>
      <w:b/>
      <w:bCs/>
      <w:sz w:val="28"/>
      <w:lang w:eastAsia="en-US"/>
    </w:rPr>
  </w:style>
  <w:style w:type="character" w:customStyle="1" w:styleId="HeaderChar">
    <w:name w:val="Header Char"/>
    <w:basedOn w:val="DefaultParagraphFont"/>
    <w:link w:val="Header"/>
    <w:uiPriority w:val="99"/>
    <w:rsid w:val="00C30BC7"/>
    <w:rPr>
      <w:lang w:eastAsia="en-US"/>
    </w:rPr>
  </w:style>
  <w:style w:type="character" w:customStyle="1" w:styleId="FooterChar">
    <w:name w:val="Footer Char"/>
    <w:basedOn w:val="DefaultParagraphFont"/>
    <w:link w:val="Footer"/>
    <w:uiPriority w:val="99"/>
    <w:rsid w:val="00C30BC7"/>
    <w:rPr>
      <w:sz w:val="24"/>
      <w:lang w:eastAsia="en-US"/>
    </w:rPr>
  </w:style>
  <w:style w:type="character" w:customStyle="1" w:styleId="BodyTextIndent3Char">
    <w:name w:val="Body Text Indent 3 Char"/>
    <w:basedOn w:val="DefaultParagraphFont"/>
    <w:link w:val="BodyTextIndent3"/>
    <w:semiHidden/>
    <w:rsid w:val="00C30BC7"/>
    <w:rPr>
      <w:sz w:val="24"/>
      <w:lang w:eastAsia="en-US"/>
    </w:rPr>
  </w:style>
  <w:style w:type="character" w:customStyle="1" w:styleId="EndnoteTextChar">
    <w:name w:val="Endnote Text Char"/>
    <w:basedOn w:val="DefaultParagraphFont"/>
    <w:link w:val="EndnoteText"/>
    <w:semiHidden/>
    <w:rsid w:val="00C30BC7"/>
    <w:rPr>
      <w:lang w:eastAsia="en-US"/>
    </w:rPr>
  </w:style>
  <w:style w:type="table" w:styleId="TableGrid">
    <w:name w:val="Table Grid"/>
    <w:basedOn w:val="TableNormal"/>
    <w:uiPriority w:val="39"/>
    <w:rsid w:val="00C30BC7"/>
    <w:rPr>
      <w:lang w:val="en-IE" w:eastAsia="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0">
    <w:name w:val="Unresolved Mention10"/>
    <w:basedOn w:val="DefaultParagraphFont"/>
    <w:uiPriority w:val="99"/>
    <w:unhideWhenUsed/>
    <w:rsid w:val="00C30BC7"/>
    <w:rPr>
      <w:color w:val="605E5C"/>
      <w:shd w:val="clear" w:color="auto" w:fill="E1DFDD"/>
    </w:rPr>
  </w:style>
  <w:style w:type="character" w:customStyle="1" w:styleId="UnresolvedMention2">
    <w:name w:val="Unresolved Mention2"/>
    <w:basedOn w:val="DefaultParagraphFont"/>
    <w:uiPriority w:val="99"/>
    <w:semiHidden/>
    <w:unhideWhenUsed/>
    <w:rsid w:val="00C30BC7"/>
    <w:rPr>
      <w:color w:val="605E5C"/>
      <w:shd w:val="clear" w:color="auto" w:fill="E1DFDD"/>
    </w:rPr>
  </w:style>
  <w:style w:type="paragraph" w:styleId="NormalWeb">
    <w:name w:val="Normal (Web)"/>
    <w:basedOn w:val="Normal"/>
    <w:uiPriority w:val="99"/>
    <w:semiHidden/>
    <w:unhideWhenUsed/>
    <w:rsid w:val="00C30BC7"/>
    <w:rPr>
      <w:rFonts w:eastAsiaTheme="minorHAnsi"/>
      <w:szCs w:val="24"/>
    </w:rPr>
  </w:style>
  <w:style w:type="character" w:customStyle="1" w:styleId="apple-converted-space">
    <w:name w:val="apple-converted-space"/>
    <w:basedOn w:val="DefaultParagraphFont"/>
    <w:rsid w:val="00C30BC7"/>
  </w:style>
  <w:style w:type="paragraph" w:customStyle="1" w:styleId="p1">
    <w:name w:val="p1"/>
    <w:basedOn w:val="Normal"/>
    <w:rsid w:val="00C30BC7"/>
    <w:rPr>
      <w:rFonts w:ascii="Times" w:eastAsiaTheme="minorEastAsia" w:hAnsi="Times"/>
      <w:sz w:val="11"/>
      <w:szCs w:val="11"/>
    </w:rPr>
  </w:style>
  <w:style w:type="paragraph" w:customStyle="1" w:styleId="Standard">
    <w:name w:val="Standard"/>
    <w:rsid w:val="00C30BC7"/>
    <w:pPr>
      <w:suppressAutoHyphens/>
      <w:autoSpaceDN w:val="0"/>
      <w:spacing w:line="480" w:lineRule="auto"/>
      <w:ind w:firstLine="720"/>
      <w:jc w:val="both"/>
      <w:textAlignment w:val="baseline"/>
    </w:pPr>
    <w:rPr>
      <w:kern w:val="3"/>
      <w:sz w:val="22"/>
      <w:szCs w:val="22"/>
      <w:lang w:eastAsia="en-US"/>
    </w:rPr>
  </w:style>
  <w:style w:type="paragraph" w:styleId="NoSpacing">
    <w:name w:val="No Spacing"/>
    <w:aliases w:val="References"/>
    <w:uiPriority w:val="1"/>
    <w:qFormat/>
    <w:rsid w:val="00C30BC7"/>
    <w:rPr>
      <w:rFonts w:asciiTheme="minorHAnsi" w:eastAsiaTheme="minorHAnsi" w:hAnsiTheme="minorHAnsi" w:cstheme="minorBidi"/>
      <w:sz w:val="22"/>
      <w:szCs w:val="22"/>
      <w:lang w:eastAsia="en-US"/>
    </w:rPr>
  </w:style>
  <w:style w:type="paragraph" w:customStyle="1" w:styleId="Default">
    <w:name w:val="Default"/>
    <w:rsid w:val="00C30BC7"/>
    <w:pPr>
      <w:autoSpaceDE w:val="0"/>
      <w:autoSpaceDN w:val="0"/>
      <w:adjustRightInd w:val="0"/>
    </w:pPr>
    <w:rPr>
      <w:rFonts w:eastAsiaTheme="minorHAnsi"/>
      <w:color w:val="000000"/>
      <w:sz w:val="24"/>
      <w:szCs w:val="24"/>
      <w:lang w:eastAsia="en-US"/>
    </w:rPr>
  </w:style>
  <w:style w:type="paragraph" w:customStyle="1" w:styleId="TableParagraph">
    <w:name w:val="Table Paragraph"/>
    <w:basedOn w:val="Normal"/>
    <w:uiPriority w:val="1"/>
    <w:qFormat/>
    <w:rsid w:val="00C30BC7"/>
    <w:pPr>
      <w:widowControl w:val="0"/>
    </w:pPr>
    <w:rPr>
      <w:rFonts w:asciiTheme="minorHAnsi" w:eastAsiaTheme="minorHAnsi" w:hAnsiTheme="minorHAnsi" w:cstheme="minorBidi"/>
      <w:sz w:val="22"/>
      <w:szCs w:val="22"/>
    </w:rPr>
  </w:style>
  <w:style w:type="character" w:customStyle="1" w:styleId="st">
    <w:name w:val="st"/>
    <w:basedOn w:val="DefaultParagraphFont"/>
    <w:rsid w:val="00C30BC7"/>
  </w:style>
  <w:style w:type="character" w:customStyle="1" w:styleId="meta-data-value">
    <w:name w:val="meta-data-value"/>
    <w:basedOn w:val="DefaultParagraphFont"/>
    <w:rsid w:val="00C30BC7"/>
  </w:style>
  <w:style w:type="paragraph" w:styleId="Subtitle">
    <w:name w:val="Subtitle"/>
    <w:basedOn w:val="Normal"/>
    <w:next w:val="Normal"/>
    <w:link w:val="SubtitleChar"/>
    <w:uiPriority w:val="11"/>
    <w:qFormat/>
    <w:rsid w:val="00C30BC7"/>
    <w:pPr>
      <w:widowControl w:val="0"/>
      <w:spacing w:after="600" w:line="480" w:lineRule="auto"/>
      <w:ind w:firstLine="720"/>
      <w:jc w:val="both"/>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C30BC7"/>
    <w:rPr>
      <w:rFonts w:asciiTheme="majorHAnsi" w:eastAsiaTheme="majorEastAsia" w:hAnsiTheme="majorHAnsi" w:cstheme="majorBidi"/>
      <w:i/>
      <w:iCs/>
      <w:spacing w:val="13"/>
      <w:sz w:val="24"/>
      <w:szCs w:val="24"/>
      <w:lang w:eastAsia="en-US"/>
    </w:rPr>
  </w:style>
  <w:style w:type="character" w:styleId="Strong">
    <w:name w:val="Strong"/>
    <w:uiPriority w:val="22"/>
    <w:qFormat/>
    <w:rsid w:val="00C30BC7"/>
    <w:rPr>
      <w:b/>
      <w:bCs/>
    </w:rPr>
  </w:style>
  <w:style w:type="paragraph" w:styleId="Quote">
    <w:name w:val="Quote"/>
    <w:basedOn w:val="Normal"/>
    <w:next w:val="Normal"/>
    <w:link w:val="QuoteChar"/>
    <w:uiPriority w:val="29"/>
    <w:qFormat/>
    <w:rsid w:val="00C30BC7"/>
    <w:pPr>
      <w:widowControl w:val="0"/>
      <w:spacing w:before="200" w:line="480" w:lineRule="auto"/>
      <w:ind w:left="360" w:right="360" w:firstLine="720"/>
      <w:jc w:val="both"/>
    </w:pPr>
    <w:rPr>
      <w:rFonts w:asciiTheme="minorHAnsi" w:eastAsiaTheme="minorEastAsia" w:hAnsiTheme="minorHAnsi" w:cstheme="minorBidi"/>
      <w:i/>
      <w:iCs/>
      <w:sz w:val="22"/>
      <w:szCs w:val="22"/>
    </w:rPr>
  </w:style>
  <w:style w:type="character" w:customStyle="1" w:styleId="QuoteChar">
    <w:name w:val="Quote Char"/>
    <w:basedOn w:val="DefaultParagraphFont"/>
    <w:link w:val="Quote"/>
    <w:uiPriority w:val="29"/>
    <w:rsid w:val="00C30BC7"/>
    <w:rPr>
      <w:rFonts w:asciiTheme="minorHAnsi" w:eastAsiaTheme="minorEastAsia" w:hAnsiTheme="minorHAnsi" w:cstheme="minorBidi"/>
      <w:i/>
      <w:iCs/>
      <w:sz w:val="22"/>
      <w:szCs w:val="22"/>
      <w:lang w:eastAsia="en-US"/>
    </w:rPr>
  </w:style>
  <w:style w:type="paragraph" w:styleId="IntenseQuote">
    <w:name w:val="Intense Quote"/>
    <w:basedOn w:val="Normal"/>
    <w:next w:val="Normal"/>
    <w:link w:val="IntenseQuoteChar"/>
    <w:uiPriority w:val="30"/>
    <w:qFormat/>
    <w:rsid w:val="00C30BC7"/>
    <w:pPr>
      <w:widowControl w:val="0"/>
      <w:pBdr>
        <w:bottom w:val="single" w:sz="4" w:space="1" w:color="auto"/>
      </w:pBdr>
      <w:spacing w:before="200" w:after="280" w:line="480" w:lineRule="auto"/>
      <w:ind w:left="1008" w:right="1152" w:firstLine="720"/>
      <w:jc w:val="both"/>
    </w:pPr>
    <w:rPr>
      <w:rFonts w:asciiTheme="minorHAnsi" w:eastAsiaTheme="minorEastAsia" w:hAnsiTheme="minorHAnsi" w:cstheme="minorBidi"/>
      <w:b/>
      <w:bCs/>
      <w:i/>
      <w:iCs/>
      <w:sz w:val="22"/>
      <w:szCs w:val="22"/>
    </w:rPr>
  </w:style>
  <w:style w:type="character" w:customStyle="1" w:styleId="IntenseQuoteChar">
    <w:name w:val="Intense Quote Char"/>
    <w:basedOn w:val="DefaultParagraphFont"/>
    <w:link w:val="IntenseQuote"/>
    <w:uiPriority w:val="30"/>
    <w:rsid w:val="00C30BC7"/>
    <w:rPr>
      <w:rFonts w:asciiTheme="minorHAnsi" w:eastAsiaTheme="minorEastAsia" w:hAnsiTheme="minorHAnsi" w:cstheme="minorBidi"/>
      <w:b/>
      <w:bCs/>
      <w:i/>
      <w:iCs/>
      <w:sz w:val="22"/>
      <w:szCs w:val="22"/>
      <w:lang w:eastAsia="en-US"/>
    </w:rPr>
  </w:style>
  <w:style w:type="character" w:styleId="SubtleEmphasis">
    <w:name w:val="Subtle Emphasis"/>
    <w:uiPriority w:val="19"/>
    <w:qFormat/>
    <w:rsid w:val="00C30BC7"/>
    <w:rPr>
      <w:i/>
      <w:iCs/>
    </w:rPr>
  </w:style>
  <w:style w:type="character" w:styleId="IntenseEmphasis">
    <w:name w:val="Intense Emphasis"/>
    <w:uiPriority w:val="21"/>
    <w:qFormat/>
    <w:rsid w:val="00C30BC7"/>
    <w:rPr>
      <w:b/>
      <w:bCs/>
    </w:rPr>
  </w:style>
  <w:style w:type="character" w:styleId="SubtleReference">
    <w:name w:val="Subtle Reference"/>
    <w:uiPriority w:val="31"/>
    <w:qFormat/>
    <w:rsid w:val="00C30BC7"/>
    <w:rPr>
      <w:smallCaps/>
    </w:rPr>
  </w:style>
  <w:style w:type="character" w:styleId="IntenseReference">
    <w:name w:val="Intense Reference"/>
    <w:uiPriority w:val="32"/>
    <w:qFormat/>
    <w:rsid w:val="00C30BC7"/>
    <w:rPr>
      <w:smallCaps/>
      <w:spacing w:val="5"/>
      <w:u w:val="single"/>
    </w:rPr>
  </w:style>
  <w:style w:type="character" w:styleId="BookTitle">
    <w:name w:val="Book Title"/>
    <w:uiPriority w:val="33"/>
    <w:qFormat/>
    <w:rsid w:val="00C30BC7"/>
    <w:rPr>
      <w:i/>
      <w:iCs/>
      <w:smallCaps/>
      <w:spacing w:val="5"/>
    </w:rPr>
  </w:style>
  <w:style w:type="paragraph" w:styleId="TOCHeading">
    <w:name w:val="TOC Heading"/>
    <w:basedOn w:val="Heading1"/>
    <w:next w:val="Normal"/>
    <w:uiPriority w:val="39"/>
    <w:semiHidden/>
    <w:unhideWhenUsed/>
    <w:qFormat/>
    <w:rsid w:val="00C30BC7"/>
    <w:pPr>
      <w:keepNext w:val="0"/>
      <w:widowControl w:val="0"/>
      <w:spacing w:before="120" w:after="240"/>
      <w:contextualSpacing/>
      <w:jc w:val="both"/>
      <w:outlineLvl w:val="9"/>
    </w:pPr>
    <w:rPr>
      <w:rFonts w:eastAsiaTheme="majorEastAsia" w:cstheme="majorBidi"/>
      <w:bCs/>
      <w:i w:val="0"/>
      <w:szCs w:val="28"/>
      <w:lang w:bidi="en-US"/>
    </w:rPr>
  </w:style>
  <w:style w:type="character" w:customStyle="1" w:styleId="BalloonTextChar1">
    <w:name w:val="Balloon Text Char1"/>
    <w:basedOn w:val="DefaultParagraphFont"/>
    <w:uiPriority w:val="99"/>
    <w:semiHidden/>
    <w:rsid w:val="00C30BC7"/>
    <w:rPr>
      <w:rFonts w:ascii="Segoe UI" w:hAnsi="Segoe UI" w:cs="Segoe UI"/>
      <w:sz w:val="18"/>
      <w:szCs w:val="18"/>
      <w:lang w:eastAsia="en-US"/>
    </w:rPr>
  </w:style>
  <w:style w:type="character" w:styleId="PlaceholderText">
    <w:name w:val="Placeholder Text"/>
    <w:basedOn w:val="DefaultParagraphFont"/>
    <w:uiPriority w:val="99"/>
    <w:semiHidden/>
    <w:rsid w:val="00C30BC7"/>
    <w:rPr>
      <w:color w:val="808080"/>
    </w:rPr>
  </w:style>
  <w:style w:type="paragraph" w:styleId="Caption">
    <w:name w:val="caption"/>
    <w:basedOn w:val="Normal"/>
    <w:next w:val="Normal"/>
    <w:uiPriority w:val="35"/>
    <w:unhideWhenUsed/>
    <w:qFormat/>
    <w:rsid w:val="00C30BC7"/>
    <w:pPr>
      <w:widowControl w:val="0"/>
      <w:spacing w:after="200"/>
      <w:ind w:firstLine="720"/>
      <w:jc w:val="both"/>
    </w:pPr>
    <w:rPr>
      <w:rFonts w:eastAsiaTheme="minorEastAsia" w:cstheme="minorBidi"/>
      <w:i/>
      <w:iCs/>
      <w:color w:val="44546A" w:themeColor="text2"/>
      <w:sz w:val="18"/>
      <w:szCs w:val="18"/>
    </w:rPr>
  </w:style>
  <w:style w:type="character" w:customStyle="1" w:styleId="A10">
    <w:name w:val="A10"/>
    <w:uiPriority w:val="99"/>
    <w:rsid w:val="00C30BC7"/>
    <w:rPr>
      <w:rFonts w:cs="Verdana"/>
      <w:b/>
      <w:bCs/>
      <w:color w:val="211D1E"/>
      <w:sz w:val="16"/>
      <w:szCs w:val="16"/>
      <w:u w:val="single"/>
    </w:rPr>
  </w:style>
  <w:style w:type="character" w:customStyle="1" w:styleId="superscript">
    <w:name w:val="superscript"/>
    <w:basedOn w:val="DefaultParagraphFont"/>
    <w:rsid w:val="00E16DDE"/>
  </w:style>
  <w:style w:type="character" w:customStyle="1" w:styleId="tabchar">
    <w:name w:val="tabchar"/>
    <w:basedOn w:val="DefaultParagraphFont"/>
    <w:rsid w:val="00E16DDE"/>
  </w:style>
  <w:style w:type="paragraph" w:customStyle="1" w:styleId="SidebarAttributionJob">
    <w:name w:val="..Sidebar Attribution Job"/>
    <w:basedOn w:val="Normal"/>
    <w:link w:val="SidebarAttributionJobChar"/>
    <w:rsid w:val="00753451"/>
    <w:pPr>
      <w:spacing w:after="80" w:line="220" w:lineRule="atLeast"/>
      <w:ind w:left="240" w:right="180"/>
    </w:pPr>
    <w:rPr>
      <w:rFonts w:ascii="Arial" w:eastAsia="Batang" w:hAnsi="Arial"/>
      <w:color w:val="294875"/>
      <w:sz w:val="16"/>
      <w:szCs w:val="24"/>
    </w:rPr>
  </w:style>
  <w:style w:type="character" w:customStyle="1" w:styleId="SidebarAttributionJobChar">
    <w:name w:val="..Sidebar Attribution Job Char"/>
    <w:basedOn w:val="DefaultParagraphFont"/>
    <w:link w:val="SidebarAttributionJob"/>
    <w:rsid w:val="00753451"/>
    <w:rPr>
      <w:rFonts w:ascii="Arial" w:eastAsia="Batang" w:hAnsi="Arial"/>
      <w:color w:val="294875"/>
      <w:sz w:val="16"/>
      <w:szCs w:val="24"/>
      <w:lang w:eastAsia="en-US"/>
    </w:rPr>
  </w:style>
  <w:style w:type="character" w:customStyle="1" w:styleId="UnresolvedMention100">
    <w:name w:val="Unresolved Mention100"/>
    <w:basedOn w:val="DefaultParagraphFont"/>
    <w:uiPriority w:val="99"/>
    <w:semiHidden/>
    <w:unhideWhenUsed/>
    <w:rsid w:val="00D658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81740">
      <w:bodyDiv w:val="1"/>
      <w:marLeft w:val="0"/>
      <w:marRight w:val="0"/>
      <w:marTop w:val="0"/>
      <w:marBottom w:val="0"/>
      <w:divBdr>
        <w:top w:val="none" w:sz="0" w:space="0" w:color="auto"/>
        <w:left w:val="none" w:sz="0" w:space="0" w:color="auto"/>
        <w:bottom w:val="none" w:sz="0" w:space="0" w:color="auto"/>
        <w:right w:val="none" w:sz="0" w:space="0" w:color="auto"/>
      </w:divBdr>
    </w:div>
    <w:div w:id="230776623">
      <w:bodyDiv w:val="1"/>
      <w:marLeft w:val="0"/>
      <w:marRight w:val="0"/>
      <w:marTop w:val="0"/>
      <w:marBottom w:val="0"/>
      <w:divBdr>
        <w:top w:val="none" w:sz="0" w:space="0" w:color="auto"/>
        <w:left w:val="none" w:sz="0" w:space="0" w:color="auto"/>
        <w:bottom w:val="none" w:sz="0" w:space="0" w:color="auto"/>
        <w:right w:val="none" w:sz="0" w:space="0" w:color="auto"/>
      </w:divBdr>
    </w:div>
    <w:div w:id="390886498">
      <w:bodyDiv w:val="1"/>
      <w:marLeft w:val="0"/>
      <w:marRight w:val="0"/>
      <w:marTop w:val="0"/>
      <w:marBottom w:val="0"/>
      <w:divBdr>
        <w:top w:val="none" w:sz="0" w:space="0" w:color="auto"/>
        <w:left w:val="none" w:sz="0" w:space="0" w:color="auto"/>
        <w:bottom w:val="none" w:sz="0" w:space="0" w:color="auto"/>
        <w:right w:val="none" w:sz="0" w:space="0" w:color="auto"/>
      </w:divBdr>
    </w:div>
    <w:div w:id="451636138">
      <w:bodyDiv w:val="1"/>
      <w:marLeft w:val="0"/>
      <w:marRight w:val="0"/>
      <w:marTop w:val="0"/>
      <w:marBottom w:val="0"/>
      <w:divBdr>
        <w:top w:val="none" w:sz="0" w:space="0" w:color="auto"/>
        <w:left w:val="none" w:sz="0" w:space="0" w:color="auto"/>
        <w:bottom w:val="none" w:sz="0" w:space="0" w:color="auto"/>
        <w:right w:val="none" w:sz="0" w:space="0" w:color="auto"/>
      </w:divBdr>
    </w:div>
    <w:div w:id="525290549">
      <w:bodyDiv w:val="1"/>
      <w:marLeft w:val="0"/>
      <w:marRight w:val="0"/>
      <w:marTop w:val="0"/>
      <w:marBottom w:val="0"/>
      <w:divBdr>
        <w:top w:val="none" w:sz="0" w:space="0" w:color="auto"/>
        <w:left w:val="none" w:sz="0" w:space="0" w:color="auto"/>
        <w:bottom w:val="none" w:sz="0" w:space="0" w:color="auto"/>
        <w:right w:val="none" w:sz="0" w:space="0" w:color="auto"/>
      </w:divBdr>
    </w:div>
    <w:div w:id="667057995">
      <w:bodyDiv w:val="1"/>
      <w:marLeft w:val="0"/>
      <w:marRight w:val="0"/>
      <w:marTop w:val="0"/>
      <w:marBottom w:val="0"/>
      <w:divBdr>
        <w:top w:val="none" w:sz="0" w:space="0" w:color="auto"/>
        <w:left w:val="none" w:sz="0" w:space="0" w:color="auto"/>
        <w:bottom w:val="none" w:sz="0" w:space="0" w:color="auto"/>
        <w:right w:val="none" w:sz="0" w:space="0" w:color="auto"/>
      </w:divBdr>
    </w:div>
    <w:div w:id="829365494">
      <w:bodyDiv w:val="1"/>
      <w:marLeft w:val="0"/>
      <w:marRight w:val="0"/>
      <w:marTop w:val="0"/>
      <w:marBottom w:val="0"/>
      <w:divBdr>
        <w:top w:val="none" w:sz="0" w:space="0" w:color="auto"/>
        <w:left w:val="none" w:sz="0" w:space="0" w:color="auto"/>
        <w:bottom w:val="none" w:sz="0" w:space="0" w:color="auto"/>
        <w:right w:val="none" w:sz="0" w:space="0" w:color="auto"/>
      </w:divBdr>
    </w:div>
    <w:div w:id="835655296">
      <w:bodyDiv w:val="1"/>
      <w:marLeft w:val="0"/>
      <w:marRight w:val="0"/>
      <w:marTop w:val="0"/>
      <w:marBottom w:val="0"/>
      <w:divBdr>
        <w:top w:val="none" w:sz="0" w:space="0" w:color="auto"/>
        <w:left w:val="none" w:sz="0" w:space="0" w:color="auto"/>
        <w:bottom w:val="none" w:sz="0" w:space="0" w:color="auto"/>
        <w:right w:val="none" w:sz="0" w:space="0" w:color="auto"/>
      </w:divBdr>
    </w:div>
    <w:div w:id="839544382">
      <w:bodyDiv w:val="1"/>
      <w:marLeft w:val="0"/>
      <w:marRight w:val="0"/>
      <w:marTop w:val="0"/>
      <w:marBottom w:val="0"/>
      <w:divBdr>
        <w:top w:val="none" w:sz="0" w:space="0" w:color="auto"/>
        <w:left w:val="none" w:sz="0" w:space="0" w:color="auto"/>
        <w:bottom w:val="none" w:sz="0" w:space="0" w:color="auto"/>
        <w:right w:val="none" w:sz="0" w:space="0" w:color="auto"/>
      </w:divBdr>
    </w:div>
    <w:div w:id="847984017">
      <w:bodyDiv w:val="1"/>
      <w:marLeft w:val="0"/>
      <w:marRight w:val="0"/>
      <w:marTop w:val="0"/>
      <w:marBottom w:val="0"/>
      <w:divBdr>
        <w:top w:val="none" w:sz="0" w:space="0" w:color="auto"/>
        <w:left w:val="none" w:sz="0" w:space="0" w:color="auto"/>
        <w:bottom w:val="none" w:sz="0" w:space="0" w:color="auto"/>
        <w:right w:val="none" w:sz="0" w:space="0" w:color="auto"/>
      </w:divBdr>
    </w:div>
    <w:div w:id="869419271">
      <w:bodyDiv w:val="1"/>
      <w:marLeft w:val="0"/>
      <w:marRight w:val="0"/>
      <w:marTop w:val="0"/>
      <w:marBottom w:val="0"/>
      <w:divBdr>
        <w:top w:val="none" w:sz="0" w:space="0" w:color="auto"/>
        <w:left w:val="none" w:sz="0" w:space="0" w:color="auto"/>
        <w:bottom w:val="none" w:sz="0" w:space="0" w:color="auto"/>
        <w:right w:val="none" w:sz="0" w:space="0" w:color="auto"/>
      </w:divBdr>
    </w:div>
    <w:div w:id="880047335">
      <w:bodyDiv w:val="1"/>
      <w:marLeft w:val="0"/>
      <w:marRight w:val="0"/>
      <w:marTop w:val="0"/>
      <w:marBottom w:val="0"/>
      <w:divBdr>
        <w:top w:val="none" w:sz="0" w:space="0" w:color="auto"/>
        <w:left w:val="none" w:sz="0" w:space="0" w:color="auto"/>
        <w:bottom w:val="none" w:sz="0" w:space="0" w:color="auto"/>
        <w:right w:val="none" w:sz="0" w:space="0" w:color="auto"/>
      </w:divBdr>
    </w:div>
    <w:div w:id="996417679">
      <w:bodyDiv w:val="1"/>
      <w:marLeft w:val="0"/>
      <w:marRight w:val="0"/>
      <w:marTop w:val="0"/>
      <w:marBottom w:val="0"/>
      <w:divBdr>
        <w:top w:val="none" w:sz="0" w:space="0" w:color="auto"/>
        <w:left w:val="none" w:sz="0" w:space="0" w:color="auto"/>
        <w:bottom w:val="none" w:sz="0" w:space="0" w:color="auto"/>
        <w:right w:val="none" w:sz="0" w:space="0" w:color="auto"/>
      </w:divBdr>
    </w:div>
    <w:div w:id="999894424">
      <w:bodyDiv w:val="1"/>
      <w:marLeft w:val="0"/>
      <w:marRight w:val="0"/>
      <w:marTop w:val="0"/>
      <w:marBottom w:val="0"/>
      <w:divBdr>
        <w:top w:val="none" w:sz="0" w:space="0" w:color="auto"/>
        <w:left w:val="none" w:sz="0" w:space="0" w:color="auto"/>
        <w:bottom w:val="none" w:sz="0" w:space="0" w:color="auto"/>
        <w:right w:val="none" w:sz="0" w:space="0" w:color="auto"/>
      </w:divBdr>
    </w:div>
    <w:div w:id="1023894275">
      <w:bodyDiv w:val="1"/>
      <w:marLeft w:val="0"/>
      <w:marRight w:val="0"/>
      <w:marTop w:val="0"/>
      <w:marBottom w:val="0"/>
      <w:divBdr>
        <w:top w:val="none" w:sz="0" w:space="0" w:color="auto"/>
        <w:left w:val="none" w:sz="0" w:space="0" w:color="auto"/>
        <w:bottom w:val="none" w:sz="0" w:space="0" w:color="auto"/>
        <w:right w:val="none" w:sz="0" w:space="0" w:color="auto"/>
      </w:divBdr>
    </w:div>
    <w:div w:id="1093160665">
      <w:bodyDiv w:val="1"/>
      <w:marLeft w:val="0"/>
      <w:marRight w:val="0"/>
      <w:marTop w:val="0"/>
      <w:marBottom w:val="0"/>
      <w:divBdr>
        <w:top w:val="none" w:sz="0" w:space="0" w:color="auto"/>
        <w:left w:val="none" w:sz="0" w:space="0" w:color="auto"/>
        <w:bottom w:val="none" w:sz="0" w:space="0" w:color="auto"/>
        <w:right w:val="none" w:sz="0" w:space="0" w:color="auto"/>
      </w:divBdr>
    </w:div>
    <w:div w:id="1202127518">
      <w:bodyDiv w:val="1"/>
      <w:marLeft w:val="0"/>
      <w:marRight w:val="0"/>
      <w:marTop w:val="0"/>
      <w:marBottom w:val="0"/>
      <w:divBdr>
        <w:top w:val="none" w:sz="0" w:space="0" w:color="auto"/>
        <w:left w:val="none" w:sz="0" w:space="0" w:color="auto"/>
        <w:bottom w:val="none" w:sz="0" w:space="0" w:color="auto"/>
        <w:right w:val="none" w:sz="0" w:space="0" w:color="auto"/>
      </w:divBdr>
    </w:div>
    <w:div w:id="1332678100">
      <w:bodyDiv w:val="1"/>
      <w:marLeft w:val="0"/>
      <w:marRight w:val="0"/>
      <w:marTop w:val="0"/>
      <w:marBottom w:val="0"/>
      <w:divBdr>
        <w:top w:val="none" w:sz="0" w:space="0" w:color="auto"/>
        <w:left w:val="none" w:sz="0" w:space="0" w:color="auto"/>
        <w:bottom w:val="none" w:sz="0" w:space="0" w:color="auto"/>
        <w:right w:val="none" w:sz="0" w:space="0" w:color="auto"/>
      </w:divBdr>
      <w:divsChild>
        <w:div w:id="29427044">
          <w:marLeft w:val="0"/>
          <w:marRight w:val="0"/>
          <w:marTop w:val="0"/>
          <w:marBottom w:val="0"/>
          <w:divBdr>
            <w:top w:val="none" w:sz="0" w:space="0" w:color="auto"/>
            <w:left w:val="none" w:sz="0" w:space="0" w:color="auto"/>
            <w:bottom w:val="none" w:sz="0" w:space="0" w:color="auto"/>
            <w:right w:val="none" w:sz="0" w:space="0" w:color="auto"/>
          </w:divBdr>
        </w:div>
        <w:div w:id="189151162">
          <w:marLeft w:val="0"/>
          <w:marRight w:val="0"/>
          <w:marTop w:val="0"/>
          <w:marBottom w:val="0"/>
          <w:divBdr>
            <w:top w:val="none" w:sz="0" w:space="0" w:color="auto"/>
            <w:left w:val="none" w:sz="0" w:space="0" w:color="auto"/>
            <w:bottom w:val="none" w:sz="0" w:space="0" w:color="auto"/>
            <w:right w:val="none" w:sz="0" w:space="0" w:color="auto"/>
          </w:divBdr>
        </w:div>
        <w:div w:id="192692231">
          <w:marLeft w:val="0"/>
          <w:marRight w:val="0"/>
          <w:marTop w:val="0"/>
          <w:marBottom w:val="0"/>
          <w:divBdr>
            <w:top w:val="none" w:sz="0" w:space="0" w:color="auto"/>
            <w:left w:val="none" w:sz="0" w:space="0" w:color="auto"/>
            <w:bottom w:val="none" w:sz="0" w:space="0" w:color="auto"/>
            <w:right w:val="none" w:sz="0" w:space="0" w:color="auto"/>
          </w:divBdr>
        </w:div>
        <w:div w:id="197200490">
          <w:marLeft w:val="0"/>
          <w:marRight w:val="0"/>
          <w:marTop w:val="0"/>
          <w:marBottom w:val="0"/>
          <w:divBdr>
            <w:top w:val="none" w:sz="0" w:space="0" w:color="auto"/>
            <w:left w:val="none" w:sz="0" w:space="0" w:color="auto"/>
            <w:bottom w:val="none" w:sz="0" w:space="0" w:color="auto"/>
            <w:right w:val="none" w:sz="0" w:space="0" w:color="auto"/>
          </w:divBdr>
        </w:div>
        <w:div w:id="224607725">
          <w:marLeft w:val="0"/>
          <w:marRight w:val="0"/>
          <w:marTop w:val="0"/>
          <w:marBottom w:val="0"/>
          <w:divBdr>
            <w:top w:val="none" w:sz="0" w:space="0" w:color="auto"/>
            <w:left w:val="none" w:sz="0" w:space="0" w:color="auto"/>
            <w:bottom w:val="none" w:sz="0" w:space="0" w:color="auto"/>
            <w:right w:val="none" w:sz="0" w:space="0" w:color="auto"/>
          </w:divBdr>
        </w:div>
        <w:div w:id="291254588">
          <w:marLeft w:val="0"/>
          <w:marRight w:val="0"/>
          <w:marTop w:val="0"/>
          <w:marBottom w:val="0"/>
          <w:divBdr>
            <w:top w:val="none" w:sz="0" w:space="0" w:color="auto"/>
            <w:left w:val="none" w:sz="0" w:space="0" w:color="auto"/>
            <w:bottom w:val="none" w:sz="0" w:space="0" w:color="auto"/>
            <w:right w:val="none" w:sz="0" w:space="0" w:color="auto"/>
          </w:divBdr>
        </w:div>
        <w:div w:id="302976495">
          <w:marLeft w:val="0"/>
          <w:marRight w:val="0"/>
          <w:marTop w:val="0"/>
          <w:marBottom w:val="0"/>
          <w:divBdr>
            <w:top w:val="none" w:sz="0" w:space="0" w:color="auto"/>
            <w:left w:val="none" w:sz="0" w:space="0" w:color="auto"/>
            <w:bottom w:val="none" w:sz="0" w:space="0" w:color="auto"/>
            <w:right w:val="none" w:sz="0" w:space="0" w:color="auto"/>
          </w:divBdr>
        </w:div>
        <w:div w:id="316539830">
          <w:marLeft w:val="0"/>
          <w:marRight w:val="0"/>
          <w:marTop w:val="0"/>
          <w:marBottom w:val="0"/>
          <w:divBdr>
            <w:top w:val="none" w:sz="0" w:space="0" w:color="auto"/>
            <w:left w:val="none" w:sz="0" w:space="0" w:color="auto"/>
            <w:bottom w:val="none" w:sz="0" w:space="0" w:color="auto"/>
            <w:right w:val="none" w:sz="0" w:space="0" w:color="auto"/>
          </w:divBdr>
        </w:div>
        <w:div w:id="435711454">
          <w:marLeft w:val="0"/>
          <w:marRight w:val="0"/>
          <w:marTop w:val="0"/>
          <w:marBottom w:val="0"/>
          <w:divBdr>
            <w:top w:val="none" w:sz="0" w:space="0" w:color="auto"/>
            <w:left w:val="none" w:sz="0" w:space="0" w:color="auto"/>
            <w:bottom w:val="none" w:sz="0" w:space="0" w:color="auto"/>
            <w:right w:val="none" w:sz="0" w:space="0" w:color="auto"/>
          </w:divBdr>
        </w:div>
        <w:div w:id="479615253">
          <w:marLeft w:val="0"/>
          <w:marRight w:val="0"/>
          <w:marTop w:val="0"/>
          <w:marBottom w:val="0"/>
          <w:divBdr>
            <w:top w:val="none" w:sz="0" w:space="0" w:color="auto"/>
            <w:left w:val="none" w:sz="0" w:space="0" w:color="auto"/>
            <w:bottom w:val="none" w:sz="0" w:space="0" w:color="auto"/>
            <w:right w:val="none" w:sz="0" w:space="0" w:color="auto"/>
          </w:divBdr>
        </w:div>
        <w:div w:id="628360064">
          <w:marLeft w:val="0"/>
          <w:marRight w:val="0"/>
          <w:marTop w:val="0"/>
          <w:marBottom w:val="0"/>
          <w:divBdr>
            <w:top w:val="none" w:sz="0" w:space="0" w:color="auto"/>
            <w:left w:val="none" w:sz="0" w:space="0" w:color="auto"/>
            <w:bottom w:val="none" w:sz="0" w:space="0" w:color="auto"/>
            <w:right w:val="none" w:sz="0" w:space="0" w:color="auto"/>
          </w:divBdr>
        </w:div>
        <w:div w:id="660085266">
          <w:marLeft w:val="0"/>
          <w:marRight w:val="0"/>
          <w:marTop w:val="0"/>
          <w:marBottom w:val="0"/>
          <w:divBdr>
            <w:top w:val="none" w:sz="0" w:space="0" w:color="auto"/>
            <w:left w:val="none" w:sz="0" w:space="0" w:color="auto"/>
            <w:bottom w:val="none" w:sz="0" w:space="0" w:color="auto"/>
            <w:right w:val="none" w:sz="0" w:space="0" w:color="auto"/>
          </w:divBdr>
        </w:div>
        <w:div w:id="860514205">
          <w:marLeft w:val="0"/>
          <w:marRight w:val="0"/>
          <w:marTop w:val="0"/>
          <w:marBottom w:val="0"/>
          <w:divBdr>
            <w:top w:val="none" w:sz="0" w:space="0" w:color="auto"/>
            <w:left w:val="none" w:sz="0" w:space="0" w:color="auto"/>
            <w:bottom w:val="none" w:sz="0" w:space="0" w:color="auto"/>
            <w:right w:val="none" w:sz="0" w:space="0" w:color="auto"/>
          </w:divBdr>
        </w:div>
        <w:div w:id="912816552">
          <w:marLeft w:val="0"/>
          <w:marRight w:val="0"/>
          <w:marTop w:val="0"/>
          <w:marBottom w:val="0"/>
          <w:divBdr>
            <w:top w:val="none" w:sz="0" w:space="0" w:color="auto"/>
            <w:left w:val="none" w:sz="0" w:space="0" w:color="auto"/>
            <w:bottom w:val="none" w:sz="0" w:space="0" w:color="auto"/>
            <w:right w:val="none" w:sz="0" w:space="0" w:color="auto"/>
          </w:divBdr>
        </w:div>
        <w:div w:id="942346925">
          <w:marLeft w:val="0"/>
          <w:marRight w:val="0"/>
          <w:marTop w:val="0"/>
          <w:marBottom w:val="0"/>
          <w:divBdr>
            <w:top w:val="none" w:sz="0" w:space="0" w:color="auto"/>
            <w:left w:val="none" w:sz="0" w:space="0" w:color="auto"/>
            <w:bottom w:val="none" w:sz="0" w:space="0" w:color="auto"/>
            <w:right w:val="none" w:sz="0" w:space="0" w:color="auto"/>
          </w:divBdr>
        </w:div>
        <w:div w:id="963736549">
          <w:marLeft w:val="0"/>
          <w:marRight w:val="0"/>
          <w:marTop w:val="0"/>
          <w:marBottom w:val="0"/>
          <w:divBdr>
            <w:top w:val="none" w:sz="0" w:space="0" w:color="auto"/>
            <w:left w:val="none" w:sz="0" w:space="0" w:color="auto"/>
            <w:bottom w:val="none" w:sz="0" w:space="0" w:color="auto"/>
            <w:right w:val="none" w:sz="0" w:space="0" w:color="auto"/>
          </w:divBdr>
        </w:div>
        <w:div w:id="1005593946">
          <w:marLeft w:val="0"/>
          <w:marRight w:val="0"/>
          <w:marTop w:val="0"/>
          <w:marBottom w:val="0"/>
          <w:divBdr>
            <w:top w:val="none" w:sz="0" w:space="0" w:color="auto"/>
            <w:left w:val="none" w:sz="0" w:space="0" w:color="auto"/>
            <w:bottom w:val="none" w:sz="0" w:space="0" w:color="auto"/>
            <w:right w:val="none" w:sz="0" w:space="0" w:color="auto"/>
          </w:divBdr>
        </w:div>
        <w:div w:id="1025253533">
          <w:marLeft w:val="0"/>
          <w:marRight w:val="0"/>
          <w:marTop w:val="0"/>
          <w:marBottom w:val="0"/>
          <w:divBdr>
            <w:top w:val="none" w:sz="0" w:space="0" w:color="auto"/>
            <w:left w:val="none" w:sz="0" w:space="0" w:color="auto"/>
            <w:bottom w:val="none" w:sz="0" w:space="0" w:color="auto"/>
            <w:right w:val="none" w:sz="0" w:space="0" w:color="auto"/>
          </w:divBdr>
        </w:div>
        <w:div w:id="1111510951">
          <w:marLeft w:val="0"/>
          <w:marRight w:val="0"/>
          <w:marTop w:val="0"/>
          <w:marBottom w:val="0"/>
          <w:divBdr>
            <w:top w:val="none" w:sz="0" w:space="0" w:color="auto"/>
            <w:left w:val="none" w:sz="0" w:space="0" w:color="auto"/>
            <w:bottom w:val="none" w:sz="0" w:space="0" w:color="auto"/>
            <w:right w:val="none" w:sz="0" w:space="0" w:color="auto"/>
          </w:divBdr>
        </w:div>
        <w:div w:id="1118793087">
          <w:marLeft w:val="0"/>
          <w:marRight w:val="0"/>
          <w:marTop w:val="0"/>
          <w:marBottom w:val="0"/>
          <w:divBdr>
            <w:top w:val="none" w:sz="0" w:space="0" w:color="auto"/>
            <w:left w:val="none" w:sz="0" w:space="0" w:color="auto"/>
            <w:bottom w:val="none" w:sz="0" w:space="0" w:color="auto"/>
            <w:right w:val="none" w:sz="0" w:space="0" w:color="auto"/>
          </w:divBdr>
        </w:div>
        <w:div w:id="1160735954">
          <w:marLeft w:val="0"/>
          <w:marRight w:val="0"/>
          <w:marTop w:val="0"/>
          <w:marBottom w:val="0"/>
          <w:divBdr>
            <w:top w:val="none" w:sz="0" w:space="0" w:color="auto"/>
            <w:left w:val="none" w:sz="0" w:space="0" w:color="auto"/>
            <w:bottom w:val="none" w:sz="0" w:space="0" w:color="auto"/>
            <w:right w:val="none" w:sz="0" w:space="0" w:color="auto"/>
          </w:divBdr>
        </w:div>
        <w:div w:id="1164707957">
          <w:marLeft w:val="0"/>
          <w:marRight w:val="0"/>
          <w:marTop w:val="0"/>
          <w:marBottom w:val="0"/>
          <w:divBdr>
            <w:top w:val="none" w:sz="0" w:space="0" w:color="auto"/>
            <w:left w:val="none" w:sz="0" w:space="0" w:color="auto"/>
            <w:bottom w:val="none" w:sz="0" w:space="0" w:color="auto"/>
            <w:right w:val="none" w:sz="0" w:space="0" w:color="auto"/>
          </w:divBdr>
        </w:div>
        <w:div w:id="1189833605">
          <w:marLeft w:val="0"/>
          <w:marRight w:val="0"/>
          <w:marTop w:val="0"/>
          <w:marBottom w:val="0"/>
          <w:divBdr>
            <w:top w:val="none" w:sz="0" w:space="0" w:color="auto"/>
            <w:left w:val="none" w:sz="0" w:space="0" w:color="auto"/>
            <w:bottom w:val="none" w:sz="0" w:space="0" w:color="auto"/>
            <w:right w:val="none" w:sz="0" w:space="0" w:color="auto"/>
          </w:divBdr>
        </w:div>
        <w:div w:id="1207522463">
          <w:marLeft w:val="0"/>
          <w:marRight w:val="0"/>
          <w:marTop w:val="0"/>
          <w:marBottom w:val="0"/>
          <w:divBdr>
            <w:top w:val="none" w:sz="0" w:space="0" w:color="auto"/>
            <w:left w:val="none" w:sz="0" w:space="0" w:color="auto"/>
            <w:bottom w:val="none" w:sz="0" w:space="0" w:color="auto"/>
            <w:right w:val="none" w:sz="0" w:space="0" w:color="auto"/>
          </w:divBdr>
        </w:div>
        <w:div w:id="1266116911">
          <w:marLeft w:val="0"/>
          <w:marRight w:val="0"/>
          <w:marTop w:val="0"/>
          <w:marBottom w:val="0"/>
          <w:divBdr>
            <w:top w:val="none" w:sz="0" w:space="0" w:color="auto"/>
            <w:left w:val="none" w:sz="0" w:space="0" w:color="auto"/>
            <w:bottom w:val="none" w:sz="0" w:space="0" w:color="auto"/>
            <w:right w:val="none" w:sz="0" w:space="0" w:color="auto"/>
          </w:divBdr>
        </w:div>
        <w:div w:id="1269502572">
          <w:marLeft w:val="0"/>
          <w:marRight w:val="0"/>
          <w:marTop w:val="0"/>
          <w:marBottom w:val="0"/>
          <w:divBdr>
            <w:top w:val="none" w:sz="0" w:space="0" w:color="auto"/>
            <w:left w:val="none" w:sz="0" w:space="0" w:color="auto"/>
            <w:bottom w:val="none" w:sz="0" w:space="0" w:color="auto"/>
            <w:right w:val="none" w:sz="0" w:space="0" w:color="auto"/>
          </w:divBdr>
        </w:div>
        <w:div w:id="1292247460">
          <w:marLeft w:val="0"/>
          <w:marRight w:val="0"/>
          <w:marTop w:val="0"/>
          <w:marBottom w:val="0"/>
          <w:divBdr>
            <w:top w:val="none" w:sz="0" w:space="0" w:color="auto"/>
            <w:left w:val="none" w:sz="0" w:space="0" w:color="auto"/>
            <w:bottom w:val="none" w:sz="0" w:space="0" w:color="auto"/>
            <w:right w:val="none" w:sz="0" w:space="0" w:color="auto"/>
          </w:divBdr>
        </w:div>
        <w:div w:id="1294824494">
          <w:marLeft w:val="0"/>
          <w:marRight w:val="0"/>
          <w:marTop w:val="0"/>
          <w:marBottom w:val="0"/>
          <w:divBdr>
            <w:top w:val="none" w:sz="0" w:space="0" w:color="auto"/>
            <w:left w:val="none" w:sz="0" w:space="0" w:color="auto"/>
            <w:bottom w:val="none" w:sz="0" w:space="0" w:color="auto"/>
            <w:right w:val="none" w:sz="0" w:space="0" w:color="auto"/>
          </w:divBdr>
        </w:div>
        <w:div w:id="1412383677">
          <w:marLeft w:val="0"/>
          <w:marRight w:val="0"/>
          <w:marTop w:val="0"/>
          <w:marBottom w:val="0"/>
          <w:divBdr>
            <w:top w:val="none" w:sz="0" w:space="0" w:color="auto"/>
            <w:left w:val="none" w:sz="0" w:space="0" w:color="auto"/>
            <w:bottom w:val="none" w:sz="0" w:space="0" w:color="auto"/>
            <w:right w:val="none" w:sz="0" w:space="0" w:color="auto"/>
          </w:divBdr>
        </w:div>
        <w:div w:id="1500076273">
          <w:marLeft w:val="0"/>
          <w:marRight w:val="0"/>
          <w:marTop w:val="0"/>
          <w:marBottom w:val="0"/>
          <w:divBdr>
            <w:top w:val="none" w:sz="0" w:space="0" w:color="auto"/>
            <w:left w:val="none" w:sz="0" w:space="0" w:color="auto"/>
            <w:bottom w:val="none" w:sz="0" w:space="0" w:color="auto"/>
            <w:right w:val="none" w:sz="0" w:space="0" w:color="auto"/>
          </w:divBdr>
        </w:div>
        <w:div w:id="1515728752">
          <w:marLeft w:val="0"/>
          <w:marRight w:val="0"/>
          <w:marTop w:val="0"/>
          <w:marBottom w:val="0"/>
          <w:divBdr>
            <w:top w:val="none" w:sz="0" w:space="0" w:color="auto"/>
            <w:left w:val="none" w:sz="0" w:space="0" w:color="auto"/>
            <w:bottom w:val="none" w:sz="0" w:space="0" w:color="auto"/>
            <w:right w:val="none" w:sz="0" w:space="0" w:color="auto"/>
          </w:divBdr>
        </w:div>
        <w:div w:id="1516112800">
          <w:marLeft w:val="0"/>
          <w:marRight w:val="0"/>
          <w:marTop w:val="0"/>
          <w:marBottom w:val="0"/>
          <w:divBdr>
            <w:top w:val="none" w:sz="0" w:space="0" w:color="auto"/>
            <w:left w:val="none" w:sz="0" w:space="0" w:color="auto"/>
            <w:bottom w:val="none" w:sz="0" w:space="0" w:color="auto"/>
            <w:right w:val="none" w:sz="0" w:space="0" w:color="auto"/>
          </w:divBdr>
        </w:div>
        <w:div w:id="1566604831">
          <w:marLeft w:val="0"/>
          <w:marRight w:val="0"/>
          <w:marTop w:val="0"/>
          <w:marBottom w:val="0"/>
          <w:divBdr>
            <w:top w:val="none" w:sz="0" w:space="0" w:color="auto"/>
            <w:left w:val="none" w:sz="0" w:space="0" w:color="auto"/>
            <w:bottom w:val="none" w:sz="0" w:space="0" w:color="auto"/>
            <w:right w:val="none" w:sz="0" w:space="0" w:color="auto"/>
          </w:divBdr>
        </w:div>
        <w:div w:id="1594588548">
          <w:marLeft w:val="0"/>
          <w:marRight w:val="0"/>
          <w:marTop w:val="0"/>
          <w:marBottom w:val="0"/>
          <w:divBdr>
            <w:top w:val="none" w:sz="0" w:space="0" w:color="auto"/>
            <w:left w:val="none" w:sz="0" w:space="0" w:color="auto"/>
            <w:bottom w:val="none" w:sz="0" w:space="0" w:color="auto"/>
            <w:right w:val="none" w:sz="0" w:space="0" w:color="auto"/>
          </w:divBdr>
        </w:div>
        <w:div w:id="1607808303">
          <w:marLeft w:val="0"/>
          <w:marRight w:val="0"/>
          <w:marTop w:val="0"/>
          <w:marBottom w:val="0"/>
          <w:divBdr>
            <w:top w:val="none" w:sz="0" w:space="0" w:color="auto"/>
            <w:left w:val="none" w:sz="0" w:space="0" w:color="auto"/>
            <w:bottom w:val="none" w:sz="0" w:space="0" w:color="auto"/>
            <w:right w:val="none" w:sz="0" w:space="0" w:color="auto"/>
          </w:divBdr>
        </w:div>
        <w:div w:id="1622834779">
          <w:marLeft w:val="0"/>
          <w:marRight w:val="0"/>
          <w:marTop w:val="0"/>
          <w:marBottom w:val="0"/>
          <w:divBdr>
            <w:top w:val="none" w:sz="0" w:space="0" w:color="auto"/>
            <w:left w:val="none" w:sz="0" w:space="0" w:color="auto"/>
            <w:bottom w:val="none" w:sz="0" w:space="0" w:color="auto"/>
            <w:right w:val="none" w:sz="0" w:space="0" w:color="auto"/>
          </w:divBdr>
        </w:div>
        <w:div w:id="1656832284">
          <w:marLeft w:val="0"/>
          <w:marRight w:val="0"/>
          <w:marTop w:val="0"/>
          <w:marBottom w:val="0"/>
          <w:divBdr>
            <w:top w:val="none" w:sz="0" w:space="0" w:color="auto"/>
            <w:left w:val="none" w:sz="0" w:space="0" w:color="auto"/>
            <w:bottom w:val="none" w:sz="0" w:space="0" w:color="auto"/>
            <w:right w:val="none" w:sz="0" w:space="0" w:color="auto"/>
          </w:divBdr>
        </w:div>
        <w:div w:id="1693067713">
          <w:marLeft w:val="0"/>
          <w:marRight w:val="0"/>
          <w:marTop w:val="0"/>
          <w:marBottom w:val="0"/>
          <w:divBdr>
            <w:top w:val="none" w:sz="0" w:space="0" w:color="auto"/>
            <w:left w:val="none" w:sz="0" w:space="0" w:color="auto"/>
            <w:bottom w:val="none" w:sz="0" w:space="0" w:color="auto"/>
            <w:right w:val="none" w:sz="0" w:space="0" w:color="auto"/>
          </w:divBdr>
        </w:div>
        <w:div w:id="1706371284">
          <w:marLeft w:val="0"/>
          <w:marRight w:val="0"/>
          <w:marTop w:val="0"/>
          <w:marBottom w:val="0"/>
          <w:divBdr>
            <w:top w:val="none" w:sz="0" w:space="0" w:color="auto"/>
            <w:left w:val="none" w:sz="0" w:space="0" w:color="auto"/>
            <w:bottom w:val="none" w:sz="0" w:space="0" w:color="auto"/>
            <w:right w:val="none" w:sz="0" w:space="0" w:color="auto"/>
          </w:divBdr>
        </w:div>
        <w:div w:id="1716079473">
          <w:marLeft w:val="0"/>
          <w:marRight w:val="0"/>
          <w:marTop w:val="0"/>
          <w:marBottom w:val="0"/>
          <w:divBdr>
            <w:top w:val="none" w:sz="0" w:space="0" w:color="auto"/>
            <w:left w:val="none" w:sz="0" w:space="0" w:color="auto"/>
            <w:bottom w:val="none" w:sz="0" w:space="0" w:color="auto"/>
            <w:right w:val="none" w:sz="0" w:space="0" w:color="auto"/>
          </w:divBdr>
        </w:div>
        <w:div w:id="1767268437">
          <w:marLeft w:val="0"/>
          <w:marRight w:val="0"/>
          <w:marTop w:val="0"/>
          <w:marBottom w:val="0"/>
          <w:divBdr>
            <w:top w:val="none" w:sz="0" w:space="0" w:color="auto"/>
            <w:left w:val="none" w:sz="0" w:space="0" w:color="auto"/>
            <w:bottom w:val="none" w:sz="0" w:space="0" w:color="auto"/>
            <w:right w:val="none" w:sz="0" w:space="0" w:color="auto"/>
          </w:divBdr>
        </w:div>
        <w:div w:id="1824001314">
          <w:marLeft w:val="0"/>
          <w:marRight w:val="0"/>
          <w:marTop w:val="0"/>
          <w:marBottom w:val="0"/>
          <w:divBdr>
            <w:top w:val="none" w:sz="0" w:space="0" w:color="auto"/>
            <w:left w:val="none" w:sz="0" w:space="0" w:color="auto"/>
            <w:bottom w:val="none" w:sz="0" w:space="0" w:color="auto"/>
            <w:right w:val="none" w:sz="0" w:space="0" w:color="auto"/>
          </w:divBdr>
        </w:div>
        <w:div w:id="1835147770">
          <w:marLeft w:val="0"/>
          <w:marRight w:val="0"/>
          <w:marTop w:val="0"/>
          <w:marBottom w:val="0"/>
          <w:divBdr>
            <w:top w:val="none" w:sz="0" w:space="0" w:color="auto"/>
            <w:left w:val="none" w:sz="0" w:space="0" w:color="auto"/>
            <w:bottom w:val="none" w:sz="0" w:space="0" w:color="auto"/>
            <w:right w:val="none" w:sz="0" w:space="0" w:color="auto"/>
          </w:divBdr>
        </w:div>
        <w:div w:id="1839687185">
          <w:marLeft w:val="0"/>
          <w:marRight w:val="0"/>
          <w:marTop w:val="0"/>
          <w:marBottom w:val="0"/>
          <w:divBdr>
            <w:top w:val="none" w:sz="0" w:space="0" w:color="auto"/>
            <w:left w:val="none" w:sz="0" w:space="0" w:color="auto"/>
            <w:bottom w:val="none" w:sz="0" w:space="0" w:color="auto"/>
            <w:right w:val="none" w:sz="0" w:space="0" w:color="auto"/>
          </w:divBdr>
        </w:div>
        <w:div w:id="1854759654">
          <w:marLeft w:val="0"/>
          <w:marRight w:val="0"/>
          <w:marTop w:val="0"/>
          <w:marBottom w:val="0"/>
          <w:divBdr>
            <w:top w:val="none" w:sz="0" w:space="0" w:color="auto"/>
            <w:left w:val="none" w:sz="0" w:space="0" w:color="auto"/>
            <w:bottom w:val="none" w:sz="0" w:space="0" w:color="auto"/>
            <w:right w:val="none" w:sz="0" w:space="0" w:color="auto"/>
          </w:divBdr>
        </w:div>
        <w:div w:id="2091539814">
          <w:marLeft w:val="0"/>
          <w:marRight w:val="0"/>
          <w:marTop w:val="0"/>
          <w:marBottom w:val="0"/>
          <w:divBdr>
            <w:top w:val="none" w:sz="0" w:space="0" w:color="auto"/>
            <w:left w:val="none" w:sz="0" w:space="0" w:color="auto"/>
            <w:bottom w:val="none" w:sz="0" w:space="0" w:color="auto"/>
            <w:right w:val="none" w:sz="0" w:space="0" w:color="auto"/>
          </w:divBdr>
        </w:div>
      </w:divsChild>
    </w:div>
    <w:div w:id="1336808812">
      <w:bodyDiv w:val="1"/>
      <w:marLeft w:val="0"/>
      <w:marRight w:val="0"/>
      <w:marTop w:val="0"/>
      <w:marBottom w:val="0"/>
      <w:divBdr>
        <w:top w:val="none" w:sz="0" w:space="0" w:color="auto"/>
        <w:left w:val="none" w:sz="0" w:space="0" w:color="auto"/>
        <w:bottom w:val="none" w:sz="0" w:space="0" w:color="auto"/>
        <w:right w:val="none" w:sz="0" w:space="0" w:color="auto"/>
      </w:divBdr>
    </w:div>
    <w:div w:id="1510870157">
      <w:bodyDiv w:val="1"/>
      <w:marLeft w:val="0"/>
      <w:marRight w:val="0"/>
      <w:marTop w:val="0"/>
      <w:marBottom w:val="0"/>
      <w:divBdr>
        <w:top w:val="none" w:sz="0" w:space="0" w:color="auto"/>
        <w:left w:val="none" w:sz="0" w:space="0" w:color="auto"/>
        <w:bottom w:val="none" w:sz="0" w:space="0" w:color="auto"/>
        <w:right w:val="none" w:sz="0" w:space="0" w:color="auto"/>
      </w:divBdr>
    </w:div>
    <w:div w:id="1746997872">
      <w:bodyDiv w:val="1"/>
      <w:marLeft w:val="0"/>
      <w:marRight w:val="0"/>
      <w:marTop w:val="0"/>
      <w:marBottom w:val="0"/>
      <w:divBdr>
        <w:top w:val="none" w:sz="0" w:space="0" w:color="auto"/>
        <w:left w:val="none" w:sz="0" w:space="0" w:color="auto"/>
        <w:bottom w:val="none" w:sz="0" w:space="0" w:color="auto"/>
        <w:right w:val="none" w:sz="0" w:space="0" w:color="auto"/>
      </w:divBdr>
    </w:div>
    <w:div w:id="1802460703">
      <w:bodyDiv w:val="1"/>
      <w:marLeft w:val="0"/>
      <w:marRight w:val="0"/>
      <w:marTop w:val="0"/>
      <w:marBottom w:val="0"/>
      <w:divBdr>
        <w:top w:val="none" w:sz="0" w:space="0" w:color="auto"/>
        <w:left w:val="none" w:sz="0" w:space="0" w:color="auto"/>
        <w:bottom w:val="none" w:sz="0" w:space="0" w:color="auto"/>
        <w:right w:val="none" w:sz="0" w:space="0" w:color="auto"/>
      </w:divBdr>
    </w:div>
    <w:div w:id="1829469260">
      <w:bodyDiv w:val="1"/>
      <w:marLeft w:val="0"/>
      <w:marRight w:val="0"/>
      <w:marTop w:val="0"/>
      <w:marBottom w:val="0"/>
      <w:divBdr>
        <w:top w:val="none" w:sz="0" w:space="0" w:color="auto"/>
        <w:left w:val="none" w:sz="0" w:space="0" w:color="auto"/>
        <w:bottom w:val="none" w:sz="0" w:space="0" w:color="auto"/>
        <w:right w:val="none" w:sz="0" w:space="0" w:color="auto"/>
      </w:divBdr>
    </w:div>
    <w:div w:id="1835804330">
      <w:bodyDiv w:val="1"/>
      <w:marLeft w:val="0"/>
      <w:marRight w:val="0"/>
      <w:marTop w:val="0"/>
      <w:marBottom w:val="0"/>
      <w:divBdr>
        <w:top w:val="none" w:sz="0" w:space="0" w:color="auto"/>
        <w:left w:val="none" w:sz="0" w:space="0" w:color="auto"/>
        <w:bottom w:val="none" w:sz="0" w:space="0" w:color="auto"/>
        <w:right w:val="none" w:sz="0" w:space="0" w:color="auto"/>
      </w:divBdr>
    </w:div>
    <w:div w:id="1913155435">
      <w:bodyDiv w:val="1"/>
      <w:marLeft w:val="0"/>
      <w:marRight w:val="0"/>
      <w:marTop w:val="0"/>
      <w:marBottom w:val="0"/>
      <w:divBdr>
        <w:top w:val="none" w:sz="0" w:space="0" w:color="auto"/>
        <w:left w:val="none" w:sz="0" w:space="0" w:color="auto"/>
        <w:bottom w:val="none" w:sz="0" w:space="0" w:color="auto"/>
        <w:right w:val="none" w:sz="0" w:space="0" w:color="auto"/>
      </w:divBdr>
    </w:div>
    <w:div w:id="1947149722">
      <w:bodyDiv w:val="1"/>
      <w:marLeft w:val="0"/>
      <w:marRight w:val="0"/>
      <w:marTop w:val="0"/>
      <w:marBottom w:val="0"/>
      <w:divBdr>
        <w:top w:val="none" w:sz="0" w:space="0" w:color="auto"/>
        <w:left w:val="none" w:sz="0" w:space="0" w:color="auto"/>
        <w:bottom w:val="none" w:sz="0" w:space="0" w:color="auto"/>
        <w:right w:val="none" w:sz="0" w:space="0" w:color="auto"/>
      </w:divBdr>
    </w:div>
    <w:div w:id="2073849135">
      <w:bodyDiv w:val="1"/>
      <w:marLeft w:val="0"/>
      <w:marRight w:val="0"/>
      <w:marTop w:val="0"/>
      <w:marBottom w:val="0"/>
      <w:divBdr>
        <w:top w:val="none" w:sz="0" w:space="0" w:color="auto"/>
        <w:left w:val="none" w:sz="0" w:space="0" w:color="auto"/>
        <w:bottom w:val="none" w:sz="0" w:space="0" w:color="auto"/>
        <w:right w:val="none" w:sz="0" w:space="0" w:color="auto"/>
      </w:divBdr>
    </w:div>
    <w:div w:id="214427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omments" Target="comments.xml"/><Relationship Id="rId18" Type="http://schemas.openxmlformats.org/officeDocument/2006/relationships/chart" Target="charts/chart4.xm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png"/><Relationship Id="rId7" Type="http://schemas.openxmlformats.org/officeDocument/2006/relationships/styles" Target="styles.xml"/><Relationship Id="rId12" Type="http://schemas.openxmlformats.org/officeDocument/2006/relationships/chart" Target="charts/chart1.xml"/><Relationship Id="rId17" Type="http://schemas.openxmlformats.org/officeDocument/2006/relationships/chart" Target="charts/chart3.xml"/><Relationship Id="rId25" Type="http://schemas.openxmlformats.org/officeDocument/2006/relationships/chart" Target="charts/chart10.xm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chart" Target="charts/chart6.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chart" Target="charts/chart9.xml"/><Relationship Id="rId5" Type="http://schemas.openxmlformats.org/officeDocument/2006/relationships/customXml" Target="../customXml/item5.xml"/><Relationship Id="rId15" Type="http://schemas.microsoft.com/office/2016/09/relationships/commentsIds" Target="commentsIds.xml"/><Relationship Id="rId23" Type="http://schemas.openxmlformats.org/officeDocument/2006/relationships/chart" Target="charts/chart8.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chart" Target="charts/chart5.xml"/><Relationship Id="rId31"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 Id="rId22" Type="http://schemas.openxmlformats.org/officeDocument/2006/relationships/chart" Target="charts/chart7.xml"/><Relationship Id="rId27" Type="http://schemas.openxmlformats.org/officeDocument/2006/relationships/footer" Target="footer2.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brookingsinstitution.sharepoint.com/sites/hutchinscenterteam/Shared%20Documents/Projects/MNC/Final%20Paper/1_FHWM/Figures060920.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brookingsinstitution.sharepoint.com/sites/hutchinscenterteam/Shared%20Documents/Projects/MNC/Final%20Paper/1_FHWM/Figures060920.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https://brookingsinstitution.sharepoint.com/sites/hutchinscenterteam/Shared%20Documents/Projects/MNC/Final%20Paper/1_FHWM/Figures0609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brookingsinstitution.sharepoint.com/sites/hutchinscenterteam/Shared%20Documents/Projects/MNC/Final%20Paper/1_FHWM/Figures06092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brookingsinstitution.sharepoint.com/sites/hutchinscenterteam/Shared%20Documents/Projects/MNC/Final%20Paper/1_FHWM/Figures060920.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brookingsinstitution.sharepoint.com/sites/hutchinscenterteam/Shared%20Documents/Projects/MNC/Final%20Paper/1_FHWM/Figures060920.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brookingsinstitution.sharepoint.com/sites/hutchinscenterteam/Shared%20Documents/Projects/MNC/Final%20Paper/1_FHWM/Figures060920.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brookingsinstitution.sharepoint.com/sites/hutchinscenterteam/Shared%20Documents/Projects/MNC/Final%20Paper/1_FHWM/Figures060920.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brookingsinstitution.sharepoint.com/sites/hutchinscenterteam/Shared%20Documents/Projects/MNC/Final%20Paper/1_FHWM/Figures060920.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brookingsinstitution.sharepoint.com/sites/hutchinscenterteam/Shared%20Documents/Projects/MNC/Final%20Paper/11_Dharmapala/data/11_Dharmapala_Data_for_Figur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'Fig1'!$G$11</c:f>
              <c:strCache>
                <c:ptCount val="1"/>
                <c:pt idx="0">
                  <c:v>U.S. Parents</c:v>
                </c:pt>
              </c:strCache>
            </c:strRef>
          </c:tx>
          <c:spPr>
            <a:solidFill>
              <a:schemeClr val="bg1"/>
            </a:solidFill>
            <a:ln>
              <a:solidFill>
                <a:schemeClr val="tx1"/>
              </a:solidFill>
            </a:ln>
            <a:effectLst/>
          </c:spPr>
          <c:invertIfNegative val="0"/>
          <c:dLbls>
            <c:dLbl>
              <c:idx val="0"/>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299E-457E-ACC7-44091B26DE6E}"/>
                </c:ext>
              </c:extLst>
            </c:dLbl>
            <c:dLbl>
              <c:idx val="1"/>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299E-457E-ACC7-44091B26DE6E}"/>
                </c:ext>
              </c:extLst>
            </c:dLbl>
            <c:dLbl>
              <c:idx val="2"/>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299E-457E-ACC7-44091B26DE6E}"/>
                </c:ext>
              </c:extLst>
            </c:dLbl>
            <c:dLbl>
              <c:idx val="3"/>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299E-457E-ACC7-44091B26DE6E}"/>
                </c:ext>
              </c:extLst>
            </c:dLbl>
            <c:dLbl>
              <c:idx val="4"/>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299E-457E-ACC7-44091B26DE6E}"/>
                </c:ext>
              </c:extLst>
            </c:dLbl>
            <c:dLbl>
              <c:idx val="5"/>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299E-457E-ACC7-44091B26DE6E}"/>
                </c:ext>
              </c:extLst>
            </c:dLbl>
            <c:dLbl>
              <c:idx val="6"/>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299E-457E-ACC7-44091B26DE6E}"/>
                </c:ext>
              </c:extLst>
            </c:dLbl>
            <c:dLbl>
              <c:idx val="7"/>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299E-457E-ACC7-44091B26DE6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'Fig1'!$H$10:$O$10</c:f>
              <c:strCache>
                <c:ptCount val="8"/>
                <c:pt idx="0">
                  <c:v>Employment</c:v>
                </c:pt>
                <c:pt idx="1">
                  <c:v>Employee Comensation</c:v>
                </c:pt>
                <c:pt idx="2">
                  <c:v>Manufacturing Employment</c:v>
                </c:pt>
                <c:pt idx="3">
                  <c:v>Manufacturing Employee Comensation</c:v>
                </c:pt>
                <c:pt idx="4">
                  <c:v>Capital Expenditures</c:v>
                </c:pt>
                <c:pt idx="5">
                  <c:v>Industrial R&amp;D</c:v>
                </c:pt>
                <c:pt idx="6">
                  <c:v>U.S. Exports</c:v>
                </c:pt>
                <c:pt idx="7">
                  <c:v>U.S. Imports</c:v>
                </c:pt>
              </c:strCache>
            </c:strRef>
          </c:cat>
          <c:val>
            <c:numRef>
              <c:f>'Fig1'!$H$11:$O$11</c:f>
              <c:numCache>
                <c:formatCode>0.0%</c:formatCode>
                <c:ptCount val="8"/>
                <c:pt idx="0">
                  <c:v>0.20094191522762953</c:v>
                </c:pt>
                <c:pt idx="1">
                  <c:v>0.23808962681027068</c:v>
                </c:pt>
                <c:pt idx="2">
                  <c:v>0.5161290322580645</c:v>
                </c:pt>
                <c:pt idx="3">
                  <c:v>0.59852426449720941</c:v>
                </c:pt>
                <c:pt idx="4">
                  <c:v>0.35668226071564046</c:v>
                </c:pt>
                <c:pt idx="5">
                  <c:v>0.66508372906773305</c:v>
                </c:pt>
                <c:pt idx="6">
                  <c:v>0.39379383634431453</c:v>
                </c:pt>
                <c:pt idx="7">
                  <c:v>0.2530747235332621</c:v>
                </c:pt>
              </c:numCache>
            </c:numRef>
          </c:val>
          <c:extLst>
            <c:ext xmlns:c16="http://schemas.microsoft.com/office/drawing/2014/chart" uri="{C3380CC4-5D6E-409C-BE32-E72D297353CC}">
              <c16:uniqueId val="{00000008-299E-457E-ACC7-44091B26DE6E}"/>
            </c:ext>
          </c:extLst>
        </c:ser>
        <c:ser>
          <c:idx val="1"/>
          <c:order val="1"/>
          <c:tx>
            <c:strRef>
              <c:f>'Fig1'!$G$12</c:f>
              <c:strCache>
                <c:ptCount val="1"/>
                <c:pt idx="0">
                  <c:v>U.S. Affiliates of Foreign MNCs</c:v>
                </c:pt>
              </c:strCache>
            </c:strRef>
          </c:tx>
          <c:spPr>
            <a:solidFill>
              <a:schemeClr val="bg1">
                <a:lumMod val="75000"/>
              </a:schemeClr>
            </a:solidFill>
            <a:ln>
              <a:solidFill>
                <a:sysClr val="windowText" lastClr="000000"/>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'Fig1'!$H$10:$O$10</c:f>
              <c:strCache>
                <c:ptCount val="8"/>
                <c:pt idx="0">
                  <c:v>Employment</c:v>
                </c:pt>
                <c:pt idx="1">
                  <c:v>Employee Comensation</c:v>
                </c:pt>
                <c:pt idx="2">
                  <c:v>Manufacturing Employment</c:v>
                </c:pt>
                <c:pt idx="3">
                  <c:v>Manufacturing Employee Comensation</c:v>
                </c:pt>
                <c:pt idx="4">
                  <c:v>Capital Expenditures</c:v>
                </c:pt>
                <c:pt idx="5">
                  <c:v>Industrial R&amp;D</c:v>
                </c:pt>
                <c:pt idx="6">
                  <c:v>U.S. Exports</c:v>
                </c:pt>
                <c:pt idx="7">
                  <c:v>U.S. Imports</c:v>
                </c:pt>
              </c:strCache>
            </c:strRef>
          </c:cat>
          <c:val>
            <c:numRef>
              <c:f>'Fig1'!$H$12:$O$12</c:f>
              <c:numCache>
                <c:formatCode>0.0%</c:formatCode>
                <c:ptCount val="8"/>
                <c:pt idx="0">
                  <c:v>6.3579277864992151E-2</c:v>
                </c:pt>
                <c:pt idx="1">
                  <c:v>7.9775638381862538E-2</c:v>
                </c:pt>
                <c:pt idx="2">
                  <c:v>0.20967741935483872</c:v>
                </c:pt>
                <c:pt idx="3">
                  <c:v>0.23782045218049383</c:v>
                </c:pt>
                <c:pt idx="4">
                  <c:v>0.17581236565937541</c:v>
                </c:pt>
                <c:pt idx="5">
                  <c:v>0.17020744813796548</c:v>
                </c:pt>
                <c:pt idx="6">
                  <c:v>0.20395324123273112</c:v>
                </c:pt>
                <c:pt idx="7">
                  <c:v>0.27388293657629104</c:v>
                </c:pt>
              </c:numCache>
            </c:numRef>
          </c:val>
          <c:extLst>
            <c:ext xmlns:c16="http://schemas.microsoft.com/office/drawing/2014/chart" uri="{C3380CC4-5D6E-409C-BE32-E72D297353CC}">
              <c16:uniqueId val="{00000009-299E-457E-ACC7-44091B26DE6E}"/>
            </c:ext>
          </c:extLst>
        </c:ser>
        <c:dLbls>
          <c:showLegendKey val="0"/>
          <c:showVal val="0"/>
          <c:showCatName val="0"/>
          <c:showSerName val="0"/>
          <c:showPercent val="0"/>
          <c:showBubbleSize val="0"/>
        </c:dLbls>
        <c:gapWidth val="150"/>
        <c:overlap val="100"/>
        <c:axId val="293921920"/>
        <c:axId val="294154624"/>
      </c:barChart>
      <c:catAx>
        <c:axId val="293921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crossAx val="294154624"/>
        <c:crosses val="autoZero"/>
        <c:auto val="1"/>
        <c:lblAlgn val="ctr"/>
        <c:lblOffset val="100"/>
        <c:noMultiLvlLbl val="0"/>
      </c:catAx>
      <c:valAx>
        <c:axId val="29415462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crossAx val="293921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'Fig16'!$K$5</c:f>
              <c:strCache>
                <c:ptCount val="1"/>
                <c:pt idx="0">
                  <c:v>Share of U.S. Multinational Parent Firms with Affiliates in Tax Havens</c:v>
                </c:pt>
              </c:strCache>
            </c:strRef>
          </c:tx>
          <c:spPr>
            <a:solidFill>
              <a:schemeClr val="tx1"/>
            </a:solidFill>
            <a:ln>
              <a:noFill/>
            </a:ln>
            <a:effectLst/>
          </c:spPr>
          <c:invertIfNegative val="0"/>
          <c:cat>
            <c:numRef>
              <c:f>'Fig16'!$J$6:$J$12</c:f>
              <c:numCache>
                <c:formatCode>General</c:formatCode>
                <c:ptCount val="7"/>
                <c:pt idx="0">
                  <c:v>1982</c:v>
                </c:pt>
                <c:pt idx="1">
                  <c:v>1989</c:v>
                </c:pt>
                <c:pt idx="2">
                  <c:v>1994</c:v>
                </c:pt>
                <c:pt idx="3">
                  <c:v>1999</c:v>
                </c:pt>
                <c:pt idx="4">
                  <c:v>2004</c:v>
                </c:pt>
                <c:pt idx="5">
                  <c:v>2009</c:v>
                </c:pt>
                <c:pt idx="6">
                  <c:v>2014</c:v>
                </c:pt>
              </c:numCache>
            </c:numRef>
          </c:cat>
          <c:val>
            <c:numRef>
              <c:f>'Fig16'!$K$6:$K$12</c:f>
              <c:numCache>
                <c:formatCode>0%</c:formatCode>
                <c:ptCount val="7"/>
                <c:pt idx="0">
                  <c:v>0.40623646600259855</c:v>
                </c:pt>
                <c:pt idx="1">
                  <c:v>0.39277851166886835</c:v>
                </c:pt>
                <c:pt idx="2">
                  <c:v>0.33949453036589966</c:v>
                </c:pt>
                <c:pt idx="3">
                  <c:v>0.36901121304791029</c:v>
                </c:pt>
                <c:pt idx="4">
                  <c:v>0.40243196294151706</c:v>
                </c:pt>
                <c:pt idx="5">
                  <c:v>0.42421854478592069</c:v>
                </c:pt>
                <c:pt idx="6">
                  <c:v>0.49808695652173912</c:v>
                </c:pt>
              </c:numCache>
            </c:numRef>
          </c:val>
          <c:extLst>
            <c:ext xmlns:c16="http://schemas.microsoft.com/office/drawing/2014/chart" uri="{C3380CC4-5D6E-409C-BE32-E72D297353CC}">
              <c16:uniqueId val="{00000000-1DFC-46F4-8E89-C6F97361080F}"/>
            </c:ext>
          </c:extLst>
        </c:ser>
        <c:dLbls>
          <c:showLegendKey val="0"/>
          <c:showVal val="0"/>
          <c:showCatName val="0"/>
          <c:showSerName val="0"/>
          <c:showPercent val="0"/>
          <c:showBubbleSize val="0"/>
        </c:dLbls>
        <c:gapWidth val="219"/>
        <c:overlap val="-27"/>
        <c:axId val="183558912"/>
        <c:axId val="183560448"/>
      </c:barChart>
      <c:catAx>
        <c:axId val="183558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crossAx val="183560448"/>
        <c:crosses val="autoZero"/>
        <c:auto val="1"/>
        <c:lblAlgn val="ctr"/>
        <c:lblOffset val="100"/>
        <c:noMultiLvlLbl val="0"/>
      </c:catAx>
      <c:valAx>
        <c:axId val="18356044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crossAx val="1835589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'Fig2'!$I$2</c:f>
              <c:strCache>
                <c:ptCount val="1"/>
                <c:pt idx="0">
                  <c:v>Low income</c:v>
                </c:pt>
              </c:strCache>
            </c:strRef>
          </c:tx>
          <c:spPr>
            <a:ln w="28575" cap="rnd">
              <a:solidFill>
                <a:schemeClr val="tx1"/>
              </a:solidFill>
              <a:round/>
            </a:ln>
            <a:effectLst/>
          </c:spPr>
          <c:marker>
            <c:symbol val="none"/>
          </c:marker>
          <c:cat>
            <c:numRef>
              <c:f>'Fig2'!$H$3:$H$38</c:f>
              <c:numCache>
                <c:formatCode>General</c:formatCode>
                <c:ptCount val="36"/>
                <c:pt idx="0">
                  <c:v>1982</c:v>
                </c:pt>
                <c:pt idx="1">
                  <c:v>1983</c:v>
                </c:pt>
                <c:pt idx="2">
                  <c:v>1984</c:v>
                </c:pt>
                <c:pt idx="3">
                  <c:v>1985</c:v>
                </c:pt>
                <c:pt idx="4">
                  <c:v>1986</c:v>
                </c:pt>
                <c:pt idx="5">
                  <c:v>1987</c:v>
                </c:pt>
                <c:pt idx="6">
                  <c:v>1988</c:v>
                </c:pt>
                <c:pt idx="7">
                  <c:v>1989</c:v>
                </c:pt>
                <c:pt idx="8">
                  <c:v>1990</c:v>
                </c:pt>
                <c:pt idx="9">
                  <c:v>1991</c:v>
                </c:pt>
                <c:pt idx="10">
                  <c:v>1992</c:v>
                </c:pt>
                <c:pt idx="11">
                  <c:v>1993</c:v>
                </c:pt>
                <c:pt idx="12">
                  <c:v>1994</c:v>
                </c:pt>
                <c:pt idx="13">
                  <c:v>1995</c:v>
                </c:pt>
                <c:pt idx="14">
                  <c:v>1996</c:v>
                </c:pt>
                <c:pt idx="15">
                  <c:v>1997</c:v>
                </c:pt>
                <c:pt idx="16">
                  <c:v>1998</c:v>
                </c:pt>
                <c:pt idx="17">
                  <c:v>1999</c:v>
                </c:pt>
                <c:pt idx="18">
                  <c:v>2000</c:v>
                </c:pt>
                <c:pt idx="19">
                  <c:v>2001</c:v>
                </c:pt>
                <c:pt idx="20">
                  <c:v>2002</c:v>
                </c:pt>
                <c:pt idx="21">
                  <c:v>2003</c:v>
                </c:pt>
                <c:pt idx="22">
                  <c:v>2004</c:v>
                </c:pt>
                <c:pt idx="23">
                  <c:v>2005</c:v>
                </c:pt>
                <c:pt idx="24">
                  <c:v>2006</c:v>
                </c:pt>
                <c:pt idx="25">
                  <c:v>2007</c:v>
                </c:pt>
                <c:pt idx="26">
                  <c:v>2008</c:v>
                </c:pt>
                <c:pt idx="27">
                  <c:v>2009</c:v>
                </c:pt>
                <c:pt idx="28">
                  <c:v>2010</c:v>
                </c:pt>
                <c:pt idx="29">
                  <c:v>2011</c:v>
                </c:pt>
                <c:pt idx="30">
                  <c:v>2012</c:v>
                </c:pt>
                <c:pt idx="31">
                  <c:v>2013</c:v>
                </c:pt>
                <c:pt idx="32">
                  <c:v>2014</c:v>
                </c:pt>
                <c:pt idx="33">
                  <c:v>2015</c:v>
                </c:pt>
                <c:pt idx="34">
                  <c:v>2016</c:v>
                </c:pt>
                <c:pt idx="35">
                  <c:v>2017</c:v>
                </c:pt>
              </c:numCache>
            </c:numRef>
          </c:cat>
          <c:val>
            <c:numRef>
              <c:f>'Fig2'!$I$3:$I$38</c:f>
              <c:numCache>
                <c:formatCode>0%</c:formatCode>
                <c:ptCount val="36"/>
                <c:pt idx="0">
                  <c:v>1.4381077962749298E-2</c:v>
                </c:pt>
                <c:pt idx="1">
                  <c:v>1.4381077962749298E-2</c:v>
                </c:pt>
                <c:pt idx="2">
                  <c:v>1.3259805440237934E-2</c:v>
                </c:pt>
                <c:pt idx="3">
                  <c:v>1.2410610344254117E-2</c:v>
                </c:pt>
                <c:pt idx="4">
                  <c:v>1.0931165495723049E-2</c:v>
                </c:pt>
                <c:pt idx="5">
                  <c:v>1.1727627460228979E-2</c:v>
                </c:pt>
                <c:pt idx="6">
                  <c:v>1.1868501207856317E-2</c:v>
                </c:pt>
                <c:pt idx="7">
                  <c:v>1.0363707469691045E-2</c:v>
                </c:pt>
                <c:pt idx="8">
                  <c:v>9.4100074682598959E-3</c:v>
                </c:pt>
                <c:pt idx="9">
                  <c:v>9.5609393855007885E-3</c:v>
                </c:pt>
                <c:pt idx="10">
                  <c:v>7.9887929728911112E-3</c:v>
                </c:pt>
                <c:pt idx="11">
                  <c:v>8.3280684624662572E-3</c:v>
                </c:pt>
                <c:pt idx="12">
                  <c:v>7.289166126403953E-3</c:v>
                </c:pt>
                <c:pt idx="13">
                  <c:v>7.8838524520975783E-3</c:v>
                </c:pt>
                <c:pt idx="14">
                  <c:v>7.6849657714586628E-3</c:v>
                </c:pt>
                <c:pt idx="15">
                  <c:v>8.4261859933948587E-3</c:v>
                </c:pt>
                <c:pt idx="16">
                  <c:v>7.9874798836574099E-3</c:v>
                </c:pt>
                <c:pt idx="17">
                  <c:v>7.9837235056272379E-3</c:v>
                </c:pt>
                <c:pt idx="18">
                  <c:v>7.4161098465379254E-3</c:v>
                </c:pt>
                <c:pt idx="19">
                  <c:v>7.236914365213995E-3</c:v>
                </c:pt>
                <c:pt idx="20">
                  <c:v>7.4373758418528023E-3</c:v>
                </c:pt>
                <c:pt idx="21">
                  <c:v>7.1340176166557459E-3</c:v>
                </c:pt>
                <c:pt idx="22">
                  <c:v>7.3153564793981551E-3</c:v>
                </c:pt>
                <c:pt idx="23">
                  <c:v>6.2958038961467046E-3</c:v>
                </c:pt>
                <c:pt idx="24">
                  <c:v>6.0307359577432568E-3</c:v>
                </c:pt>
                <c:pt idx="25">
                  <c:v>6.6219873952517447E-3</c:v>
                </c:pt>
                <c:pt idx="26">
                  <c:v>7.1814718027489082E-3</c:v>
                </c:pt>
                <c:pt idx="27">
                  <c:v>7.2170392536525267E-3</c:v>
                </c:pt>
                <c:pt idx="28">
                  <c:v>6.5674333091731924E-3</c:v>
                </c:pt>
                <c:pt idx="29">
                  <c:v>6.9872238443233021E-3</c:v>
                </c:pt>
                <c:pt idx="30">
                  <c:v>7.5941852123650811E-3</c:v>
                </c:pt>
                <c:pt idx="31">
                  <c:v>7.8267171269828482E-3</c:v>
                </c:pt>
                <c:pt idx="32">
                  <c:v>9.1870427827275055E-3</c:v>
                </c:pt>
                <c:pt idx="33">
                  <c:v>9.9282721397628022E-3</c:v>
                </c:pt>
                <c:pt idx="34">
                  <c:v>9.6877760174968793E-3</c:v>
                </c:pt>
                <c:pt idx="35">
                  <c:v>9.7153452454530938E-3</c:v>
                </c:pt>
              </c:numCache>
            </c:numRef>
          </c:val>
          <c:smooth val="0"/>
          <c:extLst>
            <c:ext xmlns:c16="http://schemas.microsoft.com/office/drawing/2014/chart" uri="{C3380CC4-5D6E-409C-BE32-E72D297353CC}">
              <c16:uniqueId val="{00000000-97FA-470C-AFFA-10FFC9F8D0F0}"/>
            </c:ext>
          </c:extLst>
        </c:ser>
        <c:ser>
          <c:idx val="1"/>
          <c:order val="1"/>
          <c:tx>
            <c:strRef>
              <c:f>'Fig2'!$J$2</c:f>
              <c:strCache>
                <c:ptCount val="1"/>
                <c:pt idx="0">
                  <c:v>Lower middle income</c:v>
                </c:pt>
              </c:strCache>
            </c:strRef>
          </c:tx>
          <c:spPr>
            <a:ln w="28575" cap="rnd">
              <a:solidFill>
                <a:schemeClr val="bg2">
                  <a:lumMod val="75000"/>
                </a:schemeClr>
              </a:solidFill>
              <a:round/>
            </a:ln>
            <a:effectLst/>
          </c:spPr>
          <c:marker>
            <c:symbol val="none"/>
          </c:marker>
          <c:cat>
            <c:numRef>
              <c:f>'Fig2'!$H$3:$H$38</c:f>
              <c:numCache>
                <c:formatCode>General</c:formatCode>
                <c:ptCount val="36"/>
                <c:pt idx="0">
                  <c:v>1982</c:v>
                </c:pt>
                <c:pt idx="1">
                  <c:v>1983</c:v>
                </c:pt>
                <c:pt idx="2">
                  <c:v>1984</c:v>
                </c:pt>
                <c:pt idx="3">
                  <c:v>1985</c:v>
                </c:pt>
                <c:pt idx="4">
                  <c:v>1986</c:v>
                </c:pt>
                <c:pt idx="5">
                  <c:v>1987</c:v>
                </c:pt>
                <c:pt idx="6">
                  <c:v>1988</c:v>
                </c:pt>
                <c:pt idx="7">
                  <c:v>1989</c:v>
                </c:pt>
                <c:pt idx="8">
                  <c:v>1990</c:v>
                </c:pt>
                <c:pt idx="9">
                  <c:v>1991</c:v>
                </c:pt>
                <c:pt idx="10">
                  <c:v>1992</c:v>
                </c:pt>
                <c:pt idx="11">
                  <c:v>1993</c:v>
                </c:pt>
                <c:pt idx="12">
                  <c:v>1994</c:v>
                </c:pt>
                <c:pt idx="13">
                  <c:v>1995</c:v>
                </c:pt>
                <c:pt idx="14">
                  <c:v>1996</c:v>
                </c:pt>
                <c:pt idx="15">
                  <c:v>1997</c:v>
                </c:pt>
                <c:pt idx="16">
                  <c:v>1998</c:v>
                </c:pt>
                <c:pt idx="17">
                  <c:v>1999</c:v>
                </c:pt>
                <c:pt idx="18">
                  <c:v>2000</c:v>
                </c:pt>
                <c:pt idx="19">
                  <c:v>2001</c:v>
                </c:pt>
                <c:pt idx="20">
                  <c:v>2002</c:v>
                </c:pt>
                <c:pt idx="21">
                  <c:v>2003</c:v>
                </c:pt>
                <c:pt idx="22">
                  <c:v>2004</c:v>
                </c:pt>
                <c:pt idx="23">
                  <c:v>2005</c:v>
                </c:pt>
                <c:pt idx="24">
                  <c:v>2006</c:v>
                </c:pt>
                <c:pt idx="25">
                  <c:v>2007</c:v>
                </c:pt>
                <c:pt idx="26">
                  <c:v>2008</c:v>
                </c:pt>
                <c:pt idx="27">
                  <c:v>2009</c:v>
                </c:pt>
                <c:pt idx="28">
                  <c:v>2010</c:v>
                </c:pt>
                <c:pt idx="29">
                  <c:v>2011</c:v>
                </c:pt>
                <c:pt idx="30">
                  <c:v>2012</c:v>
                </c:pt>
                <c:pt idx="31">
                  <c:v>2013</c:v>
                </c:pt>
                <c:pt idx="32">
                  <c:v>2014</c:v>
                </c:pt>
                <c:pt idx="33">
                  <c:v>2015</c:v>
                </c:pt>
                <c:pt idx="34">
                  <c:v>2016</c:v>
                </c:pt>
                <c:pt idx="35">
                  <c:v>2017</c:v>
                </c:pt>
              </c:numCache>
            </c:numRef>
          </c:cat>
          <c:val>
            <c:numRef>
              <c:f>'Fig2'!$J$3:$J$38</c:f>
              <c:numCache>
                <c:formatCode>0%</c:formatCode>
                <c:ptCount val="36"/>
                <c:pt idx="0">
                  <c:v>6.9597824295368385E-2</c:v>
                </c:pt>
                <c:pt idx="1">
                  <c:v>6.9597824295368385E-2</c:v>
                </c:pt>
                <c:pt idx="2">
                  <c:v>6.5452217196439261E-2</c:v>
                </c:pt>
                <c:pt idx="3">
                  <c:v>6.296773657076335E-2</c:v>
                </c:pt>
                <c:pt idx="4">
                  <c:v>5.8221722242268591E-2</c:v>
                </c:pt>
                <c:pt idx="5">
                  <c:v>5.8145019510312597E-2</c:v>
                </c:pt>
                <c:pt idx="6">
                  <c:v>5.8985400693204501E-2</c:v>
                </c:pt>
                <c:pt idx="7">
                  <c:v>5.9503324208056319E-2</c:v>
                </c:pt>
                <c:pt idx="8">
                  <c:v>5.9073935772964895E-2</c:v>
                </c:pt>
                <c:pt idx="9">
                  <c:v>5.7774064791608647E-2</c:v>
                </c:pt>
                <c:pt idx="10">
                  <c:v>6.0824625170377108E-2</c:v>
                </c:pt>
                <c:pt idx="11">
                  <c:v>6.4595179292784244E-2</c:v>
                </c:pt>
                <c:pt idx="12">
                  <c:v>8.1372325699567191E-2</c:v>
                </c:pt>
                <c:pt idx="13">
                  <c:v>8.0847471933822898E-2</c:v>
                </c:pt>
                <c:pt idx="14">
                  <c:v>8.3251053185887297E-2</c:v>
                </c:pt>
                <c:pt idx="15">
                  <c:v>8.9616963486527368E-2</c:v>
                </c:pt>
                <c:pt idx="16">
                  <c:v>9.0608436314243104E-2</c:v>
                </c:pt>
                <c:pt idx="17">
                  <c:v>0.10005408328826393</c:v>
                </c:pt>
                <c:pt idx="18">
                  <c:v>9.9297549991433531E-2</c:v>
                </c:pt>
                <c:pt idx="19">
                  <c:v>0.10607632320816197</c:v>
                </c:pt>
                <c:pt idx="20">
                  <c:v>0.11336547313338824</c:v>
                </c:pt>
                <c:pt idx="21">
                  <c:v>0.11652228773871053</c:v>
                </c:pt>
                <c:pt idx="22">
                  <c:v>0.14028407583047756</c:v>
                </c:pt>
                <c:pt idx="23">
                  <c:v>0.14965993869007724</c:v>
                </c:pt>
                <c:pt idx="24">
                  <c:v>0.15384615384615385</c:v>
                </c:pt>
                <c:pt idx="25">
                  <c:v>0.17397948482336373</c:v>
                </c:pt>
                <c:pt idx="26">
                  <c:v>0.18858345468690779</c:v>
                </c:pt>
                <c:pt idx="27">
                  <c:v>0.20481012423683748</c:v>
                </c:pt>
                <c:pt idx="28">
                  <c:v>0.24020188449095764</c:v>
                </c:pt>
                <c:pt idx="29">
                  <c:v>0.25253582218021636</c:v>
                </c:pt>
                <c:pt idx="30">
                  <c:v>0.25694072247829347</c:v>
                </c:pt>
                <c:pt idx="31">
                  <c:v>0.26920847089137612</c:v>
                </c:pt>
                <c:pt idx="32">
                  <c:v>0.28281290028749539</c:v>
                </c:pt>
                <c:pt idx="33">
                  <c:v>0.2842056672111356</c:v>
                </c:pt>
                <c:pt idx="34">
                  <c:v>0.29017062262537324</c:v>
                </c:pt>
                <c:pt idx="35">
                  <c:v>0.28303668775477608</c:v>
                </c:pt>
              </c:numCache>
            </c:numRef>
          </c:val>
          <c:smooth val="0"/>
          <c:extLst>
            <c:ext xmlns:c16="http://schemas.microsoft.com/office/drawing/2014/chart" uri="{C3380CC4-5D6E-409C-BE32-E72D297353CC}">
              <c16:uniqueId val="{00000001-97FA-470C-AFFA-10FFC9F8D0F0}"/>
            </c:ext>
          </c:extLst>
        </c:ser>
        <c:ser>
          <c:idx val="2"/>
          <c:order val="2"/>
          <c:tx>
            <c:strRef>
              <c:f>'Fig2'!$K$2</c:f>
              <c:strCache>
                <c:ptCount val="1"/>
                <c:pt idx="0">
                  <c:v>Upper middle income</c:v>
                </c:pt>
              </c:strCache>
            </c:strRef>
          </c:tx>
          <c:spPr>
            <a:ln w="28575" cap="rnd">
              <a:solidFill>
                <a:schemeClr val="tx1"/>
              </a:solidFill>
              <a:prstDash val="dash"/>
              <a:round/>
            </a:ln>
            <a:effectLst/>
          </c:spPr>
          <c:marker>
            <c:symbol val="none"/>
          </c:marker>
          <c:cat>
            <c:numRef>
              <c:f>'Fig2'!$H$3:$H$38</c:f>
              <c:numCache>
                <c:formatCode>General</c:formatCode>
                <c:ptCount val="36"/>
                <c:pt idx="0">
                  <c:v>1982</c:v>
                </c:pt>
                <c:pt idx="1">
                  <c:v>1983</c:v>
                </c:pt>
                <c:pt idx="2">
                  <c:v>1984</c:v>
                </c:pt>
                <c:pt idx="3">
                  <c:v>1985</c:v>
                </c:pt>
                <c:pt idx="4">
                  <c:v>1986</c:v>
                </c:pt>
                <c:pt idx="5">
                  <c:v>1987</c:v>
                </c:pt>
                <c:pt idx="6">
                  <c:v>1988</c:v>
                </c:pt>
                <c:pt idx="7">
                  <c:v>1989</c:v>
                </c:pt>
                <c:pt idx="8">
                  <c:v>1990</c:v>
                </c:pt>
                <c:pt idx="9">
                  <c:v>1991</c:v>
                </c:pt>
                <c:pt idx="10">
                  <c:v>1992</c:v>
                </c:pt>
                <c:pt idx="11">
                  <c:v>1993</c:v>
                </c:pt>
                <c:pt idx="12">
                  <c:v>1994</c:v>
                </c:pt>
                <c:pt idx="13">
                  <c:v>1995</c:v>
                </c:pt>
                <c:pt idx="14">
                  <c:v>1996</c:v>
                </c:pt>
                <c:pt idx="15">
                  <c:v>1997</c:v>
                </c:pt>
                <c:pt idx="16">
                  <c:v>1998</c:v>
                </c:pt>
                <c:pt idx="17">
                  <c:v>1999</c:v>
                </c:pt>
                <c:pt idx="18">
                  <c:v>2000</c:v>
                </c:pt>
                <c:pt idx="19">
                  <c:v>2001</c:v>
                </c:pt>
                <c:pt idx="20">
                  <c:v>2002</c:v>
                </c:pt>
                <c:pt idx="21">
                  <c:v>2003</c:v>
                </c:pt>
                <c:pt idx="22">
                  <c:v>2004</c:v>
                </c:pt>
                <c:pt idx="23">
                  <c:v>2005</c:v>
                </c:pt>
                <c:pt idx="24">
                  <c:v>2006</c:v>
                </c:pt>
                <c:pt idx="25">
                  <c:v>2007</c:v>
                </c:pt>
                <c:pt idx="26">
                  <c:v>2008</c:v>
                </c:pt>
                <c:pt idx="27">
                  <c:v>2009</c:v>
                </c:pt>
                <c:pt idx="28">
                  <c:v>2010</c:v>
                </c:pt>
                <c:pt idx="29">
                  <c:v>2011</c:v>
                </c:pt>
                <c:pt idx="30">
                  <c:v>2012</c:v>
                </c:pt>
                <c:pt idx="31">
                  <c:v>2013</c:v>
                </c:pt>
                <c:pt idx="32">
                  <c:v>2014</c:v>
                </c:pt>
                <c:pt idx="33">
                  <c:v>2015</c:v>
                </c:pt>
                <c:pt idx="34">
                  <c:v>2016</c:v>
                </c:pt>
                <c:pt idx="35">
                  <c:v>2017</c:v>
                </c:pt>
              </c:numCache>
            </c:numRef>
          </c:cat>
          <c:val>
            <c:numRef>
              <c:f>'Fig2'!$K$3:$K$38</c:f>
              <c:numCache>
                <c:formatCode>0%</c:formatCode>
                <c:ptCount val="36"/>
                <c:pt idx="0">
                  <c:v>0.18575902422943794</c:v>
                </c:pt>
                <c:pt idx="1">
                  <c:v>0.18575902422943794</c:v>
                </c:pt>
                <c:pt idx="2">
                  <c:v>0.18762005080860028</c:v>
                </c:pt>
                <c:pt idx="3">
                  <c:v>0.19249958423415933</c:v>
                </c:pt>
                <c:pt idx="4">
                  <c:v>0.19569970071954662</c:v>
                </c:pt>
                <c:pt idx="5">
                  <c:v>0.19250889756013892</c:v>
                </c:pt>
                <c:pt idx="6">
                  <c:v>0.18647200924272661</c:v>
                </c:pt>
                <c:pt idx="7">
                  <c:v>0.1825576847868596</c:v>
                </c:pt>
                <c:pt idx="8">
                  <c:v>0.18095593726661688</c:v>
                </c:pt>
                <c:pt idx="9">
                  <c:v>0.18188062749466258</c:v>
                </c:pt>
                <c:pt idx="10">
                  <c:v>0.19000832954717556</c:v>
                </c:pt>
                <c:pt idx="11">
                  <c:v>0.19154557463672389</c:v>
                </c:pt>
                <c:pt idx="12">
                  <c:v>0.20425434984492999</c:v>
                </c:pt>
                <c:pt idx="13">
                  <c:v>0.20455811597872881</c:v>
                </c:pt>
                <c:pt idx="14">
                  <c:v>0.20334715639810427</c:v>
                </c:pt>
                <c:pt idx="15">
                  <c:v>0.20485200160498782</c:v>
                </c:pt>
                <c:pt idx="16">
                  <c:v>0.2237527867593864</c:v>
                </c:pt>
                <c:pt idx="17">
                  <c:v>0.21697700172551443</c:v>
                </c:pt>
                <c:pt idx="18">
                  <c:v>0.2171231367941846</c:v>
                </c:pt>
                <c:pt idx="19">
                  <c:v>0.21229909325002133</c:v>
                </c:pt>
                <c:pt idx="20">
                  <c:v>0.212268036242066</c:v>
                </c:pt>
                <c:pt idx="21">
                  <c:v>0.21010167188372036</c:v>
                </c:pt>
                <c:pt idx="22">
                  <c:v>0.22166453205949205</c:v>
                </c:pt>
                <c:pt idx="23">
                  <c:v>0.21352993528397046</c:v>
                </c:pt>
                <c:pt idx="24">
                  <c:v>0.21870775885374427</c:v>
                </c:pt>
                <c:pt idx="25">
                  <c:v>0.22999171003086263</c:v>
                </c:pt>
                <c:pt idx="26">
                  <c:v>0.23058509046659623</c:v>
                </c:pt>
                <c:pt idx="27">
                  <c:v>0.21598310156662562</c:v>
                </c:pt>
                <c:pt idx="28">
                  <c:v>0.22920607421288031</c:v>
                </c:pt>
                <c:pt idx="29">
                  <c:v>0.22442659195625389</c:v>
                </c:pt>
                <c:pt idx="30">
                  <c:v>0.23009309267214723</c:v>
                </c:pt>
                <c:pt idx="31">
                  <c:v>0.23150012078267171</c:v>
                </c:pt>
                <c:pt idx="32">
                  <c:v>0.23358287552304233</c:v>
                </c:pt>
                <c:pt idx="33">
                  <c:v>0.23308003692919538</c:v>
                </c:pt>
                <c:pt idx="34">
                  <c:v>0.22966758730915363</c:v>
                </c:pt>
                <c:pt idx="35">
                  <c:v>0.23285578372072027</c:v>
                </c:pt>
              </c:numCache>
            </c:numRef>
          </c:val>
          <c:smooth val="0"/>
          <c:extLst>
            <c:ext xmlns:c16="http://schemas.microsoft.com/office/drawing/2014/chart" uri="{C3380CC4-5D6E-409C-BE32-E72D297353CC}">
              <c16:uniqueId val="{00000002-97FA-470C-AFFA-10FFC9F8D0F0}"/>
            </c:ext>
          </c:extLst>
        </c:ser>
        <c:ser>
          <c:idx val="3"/>
          <c:order val="3"/>
          <c:tx>
            <c:strRef>
              <c:f>'Fig2'!$L$2</c:f>
              <c:strCache>
                <c:ptCount val="1"/>
                <c:pt idx="0">
                  <c:v>High income</c:v>
                </c:pt>
              </c:strCache>
            </c:strRef>
          </c:tx>
          <c:spPr>
            <a:ln w="28575" cap="rnd">
              <a:solidFill>
                <a:schemeClr val="tx1"/>
              </a:solidFill>
              <a:prstDash val="sysDot"/>
              <a:round/>
            </a:ln>
            <a:effectLst/>
          </c:spPr>
          <c:marker>
            <c:symbol val="none"/>
          </c:marker>
          <c:cat>
            <c:numRef>
              <c:f>'Fig2'!$H$3:$H$38</c:f>
              <c:numCache>
                <c:formatCode>General</c:formatCode>
                <c:ptCount val="36"/>
                <c:pt idx="0">
                  <c:v>1982</c:v>
                </c:pt>
                <c:pt idx="1">
                  <c:v>1983</c:v>
                </c:pt>
                <c:pt idx="2">
                  <c:v>1984</c:v>
                </c:pt>
                <c:pt idx="3">
                  <c:v>1985</c:v>
                </c:pt>
                <c:pt idx="4">
                  <c:v>1986</c:v>
                </c:pt>
                <c:pt idx="5">
                  <c:v>1987</c:v>
                </c:pt>
                <c:pt idx="6">
                  <c:v>1988</c:v>
                </c:pt>
                <c:pt idx="7">
                  <c:v>1989</c:v>
                </c:pt>
                <c:pt idx="8">
                  <c:v>1990</c:v>
                </c:pt>
                <c:pt idx="9">
                  <c:v>1991</c:v>
                </c:pt>
                <c:pt idx="10">
                  <c:v>1992</c:v>
                </c:pt>
                <c:pt idx="11">
                  <c:v>1993</c:v>
                </c:pt>
                <c:pt idx="12">
                  <c:v>1994</c:v>
                </c:pt>
                <c:pt idx="13">
                  <c:v>1995</c:v>
                </c:pt>
                <c:pt idx="14">
                  <c:v>1996</c:v>
                </c:pt>
                <c:pt idx="15">
                  <c:v>1997</c:v>
                </c:pt>
                <c:pt idx="16">
                  <c:v>1998</c:v>
                </c:pt>
                <c:pt idx="17">
                  <c:v>1999</c:v>
                </c:pt>
                <c:pt idx="18">
                  <c:v>2000</c:v>
                </c:pt>
                <c:pt idx="19">
                  <c:v>2001</c:v>
                </c:pt>
                <c:pt idx="20">
                  <c:v>2002</c:v>
                </c:pt>
                <c:pt idx="21">
                  <c:v>2003</c:v>
                </c:pt>
                <c:pt idx="22">
                  <c:v>2004</c:v>
                </c:pt>
                <c:pt idx="23">
                  <c:v>2005</c:v>
                </c:pt>
                <c:pt idx="24">
                  <c:v>2006</c:v>
                </c:pt>
                <c:pt idx="25">
                  <c:v>2007</c:v>
                </c:pt>
                <c:pt idx="26">
                  <c:v>2008</c:v>
                </c:pt>
                <c:pt idx="27">
                  <c:v>2009</c:v>
                </c:pt>
                <c:pt idx="28">
                  <c:v>2010</c:v>
                </c:pt>
                <c:pt idx="29">
                  <c:v>2011</c:v>
                </c:pt>
                <c:pt idx="30">
                  <c:v>2012</c:v>
                </c:pt>
                <c:pt idx="31">
                  <c:v>2013</c:v>
                </c:pt>
                <c:pt idx="32">
                  <c:v>2014</c:v>
                </c:pt>
                <c:pt idx="33">
                  <c:v>2015</c:v>
                </c:pt>
                <c:pt idx="34">
                  <c:v>2016</c:v>
                </c:pt>
                <c:pt idx="35">
                  <c:v>2017</c:v>
                </c:pt>
              </c:numCache>
            </c:numRef>
          </c:cat>
          <c:val>
            <c:numRef>
              <c:f>'Fig2'!$L$3:$L$38</c:f>
              <c:numCache>
                <c:formatCode>0%</c:formatCode>
                <c:ptCount val="36"/>
                <c:pt idx="0">
                  <c:v>0.73026207351244443</c:v>
                </c:pt>
                <c:pt idx="1">
                  <c:v>0.73026207351244443</c:v>
                </c:pt>
                <c:pt idx="2">
                  <c:v>0.73366792655472246</c:v>
                </c:pt>
                <c:pt idx="3">
                  <c:v>0.73212206885082309</c:v>
                </c:pt>
                <c:pt idx="4">
                  <c:v>0.73514741154246166</c:v>
                </c:pt>
                <c:pt idx="5">
                  <c:v>0.73761845546931948</c:v>
                </c:pt>
                <c:pt idx="6">
                  <c:v>0.74267408885621256</c:v>
                </c:pt>
                <c:pt idx="7">
                  <c:v>0.74757528353539304</c:v>
                </c:pt>
                <c:pt idx="8">
                  <c:v>0.75056011949215828</c:v>
                </c:pt>
                <c:pt idx="9">
                  <c:v>0.75078436832822792</c:v>
                </c:pt>
                <c:pt idx="10">
                  <c:v>0.74117825230955625</c:v>
                </c:pt>
                <c:pt idx="11">
                  <c:v>0.73553117760802555</c:v>
                </c:pt>
                <c:pt idx="12">
                  <c:v>0.70708415832909888</c:v>
                </c:pt>
                <c:pt idx="13">
                  <c:v>0.70671055963535068</c:v>
                </c:pt>
                <c:pt idx="14">
                  <c:v>0.70571682464454977</c:v>
                </c:pt>
                <c:pt idx="15">
                  <c:v>0.69710484891509006</c:v>
                </c:pt>
                <c:pt idx="16">
                  <c:v>0.67765129704271321</c:v>
                </c:pt>
                <c:pt idx="17">
                  <c:v>0.67498519148059444</c:v>
                </c:pt>
                <c:pt idx="18">
                  <c:v>0.67616320336784397</c:v>
                </c:pt>
                <c:pt idx="19">
                  <c:v>0.67438766917660264</c:v>
                </c:pt>
                <c:pt idx="20">
                  <c:v>0.6669291147826929</c:v>
                </c:pt>
                <c:pt idx="21">
                  <c:v>0.66624202276091338</c:v>
                </c:pt>
                <c:pt idx="22">
                  <c:v>0.6307360356306323</c:v>
                </c:pt>
                <c:pt idx="23">
                  <c:v>0.63051432212980563</c:v>
                </c:pt>
                <c:pt idx="24">
                  <c:v>0.62141535134235859</c:v>
                </c:pt>
                <c:pt idx="25">
                  <c:v>0.58940681775052195</c:v>
                </c:pt>
                <c:pt idx="26">
                  <c:v>0.57364998304374715</c:v>
                </c:pt>
                <c:pt idx="27">
                  <c:v>0.57198973494288441</c:v>
                </c:pt>
                <c:pt idx="28">
                  <c:v>0.5240246079869888</c:v>
                </c:pt>
                <c:pt idx="29">
                  <c:v>0.5160503620192064</c:v>
                </c:pt>
                <c:pt idx="30">
                  <c:v>0.50537199963719415</c:v>
                </c:pt>
                <c:pt idx="31">
                  <c:v>0.49146469119896929</c:v>
                </c:pt>
                <c:pt idx="32">
                  <c:v>0.47441718140673472</c:v>
                </c:pt>
                <c:pt idx="33">
                  <c:v>0.47278602371990625</c:v>
                </c:pt>
                <c:pt idx="34">
                  <c:v>0.47047401404797623</c:v>
                </c:pt>
                <c:pt idx="35">
                  <c:v>0.47439218327905064</c:v>
                </c:pt>
              </c:numCache>
            </c:numRef>
          </c:val>
          <c:smooth val="0"/>
          <c:extLst>
            <c:ext xmlns:c16="http://schemas.microsoft.com/office/drawing/2014/chart" uri="{C3380CC4-5D6E-409C-BE32-E72D297353CC}">
              <c16:uniqueId val="{00000003-97FA-470C-AFFA-10FFC9F8D0F0}"/>
            </c:ext>
          </c:extLst>
        </c:ser>
        <c:dLbls>
          <c:showLegendKey val="0"/>
          <c:showVal val="0"/>
          <c:showCatName val="0"/>
          <c:showSerName val="0"/>
          <c:showPercent val="0"/>
          <c:showBubbleSize val="0"/>
        </c:dLbls>
        <c:smooth val="0"/>
        <c:axId val="310347264"/>
        <c:axId val="310348800"/>
      </c:lineChart>
      <c:catAx>
        <c:axId val="310347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crossAx val="310348800"/>
        <c:crosses val="autoZero"/>
        <c:auto val="1"/>
        <c:lblAlgn val="ctr"/>
        <c:lblOffset val="100"/>
        <c:tickLblSkip val="5"/>
        <c:noMultiLvlLbl val="0"/>
      </c:catAx>
      <c:valAx>
        <c:axId val="310348800"/>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crossAx val="310347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'Fig3'!$J$1</c:f>
              <c:strCache>
                <c:ptCount val="1"/>
                <c:pt idx="0">
                  <c:v>Europe</c:v>
                </c:pt>
              </c:strCache>
            </c:strRef>
          </c:tx>
          <c:spPr>
            <a:ln w="28575" cap="rnd">
              <a:solidFill>
                <a:schemeClr val="tx1"/>
              </a:solidFill>
              <a:prstDash val="sysDot"/>
              <a:round/>
            </a:ln>
            <a:effectLst/>
          </c:spPr>
          <c:marker>
            <c:symbol val="square"/>
            <c:size val="5"/>
            <c:spPr>
              <a:noFill/>
              <a:ln w="9525">
                <a:noFill/>
              </a:ln>
              <a:effectLst/>
            </c:spPr>
          </c:marker>
          <c:cat>
            <c:numRef>
              <c:f>'Fig3'!$I$2:$I$37</c:f>
              <c:numCache>
                <c:formatCode>General</c:formatCode>
                <c:ptCount val="36"/>
                <c:pt idx="0">
                  <c:v>1982</c:v>
                </c:pt>
                <c:pt idx="1">
                  <c:v>1983</c:v>
                </c:pt>
                <c:pt idx="2">
                  <c:v>1984</c:v>
                </c:pt>
                <c:pt idx="3">
                  <c:v>1985</c:v>
                </c:pt>
                <c:pt idx="4">
                  <c:v>1986</c:v>
                </c:pt>
                <c:pt idx="5">
                  <c:v>1987</c:v>
                </c:pt>
                <c:pt idx="6">
                  <c:v>1988</c:v>
                </c:pt>
                <c:pt idx="7">
                  <c:v>1989</c:v>
                </c:pt>
                <c:pt idx="8">
                  <c:v>1990</c:v>
                </c:pt>
                <c:pt idx="9">
                  <c:v>1991</c:v>
                </c:pt>
                <c:pt idx="10">
                  <c:v>1992</c:v>
                </c:pt>
                <c:pt idx="11">
                  <c:v>1993</c:v>
                </c:pt>
                <c:pt idx="12">
                  <c:v>1994</c:v>
                </c:pt>
                <c:pt idx="13">
                  <c:v>1995</c:v>
                </c:pt>
                <c:pt idx="14">
                  <c:v>1996</c:v>
                </c:pt>
                <c:pt idx="15">
                  <c:v>1997</c:v>
                </c:pt>
                <c:pt idx="16">
                  <c:v>1998</c:v>
                </c:pt>
                <c:pt idx="17">
                  <c:v>1999</c:v>
                </c:pt>
                <c:pt idx="18">
                  <c:v>2000</c:v>
                </c:pt>
                <c:pt idx="19">
                  <c:v>2001</c:v>
                </c:pt>
                <c:pt idx="20">
                  <c:v>2002</c:v>
                </c:pt>
                <c:pt idx="21">
                  <c:v>2003</c:v>
                </c:pt>
                <c:pt idx="22">
                  <c:v>2004</c:v>
                </c:pt>
                <c:pt idx="23">
                  <c:v>2005</c:v>
                </c:pt>
                <c:pt idx="24">
                  <c:v>2006</c:v>
                </c:pt>
                <c:pt idx="25">
                  <c:v>2007</c:v>
                </c:pt>
                <c:pt idx="26">
                  <c:v>2008</c:v>
                </c:pt>
                <c:pt idx="27">
                  <c:v>2009</c:v>
                </c:pt>
                <c:pt idx="28">
                  <c:v>2010</c:v>
                </c:pt>
                <c:pt idx="29">
                  <c:v>2011</c:v>
                </c:pt>
                <c:pt idx="30">
                  <c:v>2012</c:v>
                </c:pt>
                <c:pt idx="31">
                  <c:v>2013</c:v>
                </c:pt>
                <c:pt idx="32">
                  <c:v>2014</c:v>
                </c:pt>
                <c:pt idx="33">
                  <c:v>2015</c:v>
                </c:pt>
                <c:pt idx="34">
                  <c:v>2016</c:v>
                </c:pt>
                <c:pt idx="35">
                  <c:v>2017</c:v>
                </c:pt>
              </c:numCache>
            </c:numRef>
          </c:cat>
          <c:val>
            <c:numRef>
              <c:f>'Fig3'!$J$2:$J$37</c:f>
              <c:numCache>
                <c:formatCode>0%</c:formatCode>
                <c:ptCount val="36"/>
                <c:pt idx="0">
                  <c:v>0.49902428670222598</c:v>
                </c:pt>
                <c:pt idx="1">
                  <c:v>0.50337554954513319</c:v>
                </c:pt>
                <c:pt idx="2">
                  <c:v>0.49641348740608576</c:v>
                </c:pt>
                <c:pt idx="3">
                  <c:v>0.51038291951049819</c:v>
                </c:pt>
                <c:pt idx="4">
                  <c:v>0.55137632643538326</c:v>
                </c:pt>
                <c:pt idx="5">
                  <c:v>0.56786108852896422</c:v>
                </c:pt>
                <c:pt idx="6">
                  <c:v>0.56588201567865015</c:v>
                </c:pt>
                <c:pt idx="7">
                  <c:v>0.56204814670292935</c:v>
                </c:pt>
                <c:pt idx="8">
                  <c:v>0.58952587373349918</c:v>
                </c:pt>
                <c:pt idx="9">
                  <c:v>0.59058532875703651</c:v>
                </c:pt>
                <c:pt idx="10">
                  <c:v>0.5871246755116909</c:v>
                </c:pt>
                <c:pt idx="11">
                  <c:v>0.56052125178812884</c:v>
                </c:pt>
                <c:pt idx="12">
                  <c:v>0.55492405117065868</c:v>
                </c:pt>
                <c:pt idx="13">
                  <c:v>0.56978538654273492</c:v>
                </c:pt>
                <c:pt idx="14">
                  <c:v>0.56155396481193287</c:v>
                </c:pt>
                <c:pt idx="15">
                  <c:v>0.54879379877973045</c:v>
                </c:pt>
                <c:pt idx="16">
                  <c:v>0.56298186173905596</c:v>
                </c:pt>
                <c:pt idx="17">
                  <c:v>0.5500217445678014</c:v>
                </c:pt>
                <c:pt idx="18">
                  <c:v>0.51853828198001706</c:v>
                </c:pt>
                <c:pt idx="19">
                  <c:v>0.5227539841209542</c:v>
                </c:pt>
                <c:pt idx="20">
                  <c:v>0.52197471737819501</c:v>
                </c:pt>
                <c:pt idx="21">
                  <c:v>0.52850246368000287</c:v>
                </c:pt>
                <c:pt idx="22">
                  <c:v>0.52820245304874125</c:v>
                </c:pt>
                <c:pt idx="23">
                  <c:v>0.52836262799828992</c:v>
                </c:pt>
                <c:pt idx="24">
                  <c:v>0.52225040909071285</c:v>
                </c:pt>
                <c:pt idx="25">
                  <c:v>0.52831400497617342</c:v>
                </c:pt>
                <c:pt idx="26">
                  <c:v>0.52266797645161833</c:v>
                </c:pt>
                <c:pt idx="27">
                  <c:v>0.51321930736109922</c:v>
                </c:pt>
                <c:pt idx="28">
                  <c:v>0.48502476959584107</c:v>
                </c:pt>
                <c:pt idx="29">
                  <c:v>0.47692628514002566</c:v>
                </c:pt>
                <c:pt idx="30">
                  <c:v>0.4664362725078956</c:v>
                </c:pt>
                <c:pt idx="31">
                  <c:v>0.46131127869758176</c:v>
                </c:pt>
                <c:pt idx="32">
                  <c:v>0.46677947377895679</c:v>
                </c:pt>
                <c:pt idx="33">
                  <c:v>0.47408790567282821</c:v>
                </c:pt>
                <c:pt idx="34">
                  <c:v>0.48484218481611963</c:v>
                </c:pt>
                <c:pt idx="35">
                  <c:v>0.4784201935418021</c:v>
                </c:pt>
              </c:numCache>
            </c:numRef>
          </c:val>
          <c:smooth val="0"/>
          <c:extLst>
            <c:ext xmlns:c16="http://schemas.microsoft.com/office/drawing/2014/chart" uri="{C3380CC4-5D6E-409C-BE32-E72D297353CC}">
              <c16:uniqueId val="{00000000-C1D5-4C0B-B4BE-68814B07C208}"/>
            </c:ext>
          </c:extLst>
        </c:ser>
        <c:ser>
          <c:idx val="1"/>
          <c:order val="1"/>
          <c:tx>
            <c:strRef>
              <c:f>'Fig3'!$K$1</c:f>
              <c:strCache>
                <c:ptCount val="1"/>
                <c:pt idx="0">
                  <c:v>Latin America</c:v>
                </c:pt>
              </c:strCache>
            </c:strRef>
          </c:tx>
          <c:spPr>
            <a:ln w="28575" cap="rnd">
              <a:solidFill>
                <a:schemeClr val="bg1">
                  <a:lumMod val="65000"/>
                </a:schemeClr>
              </a:solidFill>
              <a:round/>
            </a:ln>
            <a:effectLst/>
          </c:spPr>
          <c:marker>
            <c:symbol val="triangle"/>
            <c:size val="5"/>
            <c:spPr>
              <a:noFill/>
              <a:ln w="9525">
                <a:noFill/>
              </a:ln>
              <a:effectLst/>
            </c:spPr>
          </c:marker>
          <c:cat>
            <c:numRef>
              <c:f>'Fig3'!$I$2:$I$37</c:f>
              <c:numCache>
                <c:formatCode>General</c:formatCode>
                <c:ptCount val="36"/>
                <c:pt idx="0">
                  <c:v>1982</c:v>
                </c:pt>
                <c:pt idx="1">
                  <c:v>1983</c:v>
                </c:pt>
                <c:pt idx="2">
                  <c:v>1984</c:v>
                </c:pt>
                <c:pt idx="3">
                  <c:v>1985</c:v>
                </c:pt>
                <c:pt idx="4">
                  <c:v>1986</c:v>
                </c:pt>
                <c:pt idx="5">
                  <c:v>1987</c:v>
                </c:pt>
                <c:pt idx="6">
                  <c:v>1988</c:v>
                </c:pt>
                <c:pt idx="7">
                  <c:v>1989</c:v>
                </c:pt>
                <c:pt idx="8">
                  <c:v>1990</c:v>
                </c:pt>
                <c:pt idx="9">
                  <c:v>1991</c:v>
                </c:pt>
                <c:pt idx="10">
                  <c:v>1992</c:v>
                </c:pt>
                <c:pt idx="11">
                  <c:v>1993</c:v>
                </c:pt>
                <c:pt idx="12">
                  <c:v>1994</c:v>
                </c:pt>
                <c:pt idx="13">
                  <c:v>1995</c:v>
                </c:pt>
                <c:pt idx="14">
                  <c:v>1996</c:v>
                </c:pt>
                <c:pt idx="15">
                  <c:v>1997</c:v>
                </c:pt>
                <c:pt idx="16">
                  <c:v>1998</c:v>
                </c:pt>
                <c:pt idx="17">
                  <c:v>1999</c:v>
                </c:pt>
                <c:pt idx="18">
                  <c:v>2000</c:v>
                </c:pt>
                <c:pt idx="19">
                  <c:v>2001</c:v>
                </c:pt>
                <c:pt idx="20">
                  <c:v>2002</c:v>
                </c:pt>
                <c:pt idx="21">
                  <c:v>2003</c:v>
                </c:pt>
                <c:pt idx="22">
                  <c:v>2004</c:v>
                </c:pt>
                <c:pt idx="23">
                  <c:v>2005</c:v>
                </c:pt>
                <c:pt idx="24">
                  <c:v>2006</c:v>
                </c:pt>
                <c:pt idx="25">
                  <c:v>2007</c:v>
                </c:pt>
                <c:pt idx="26">
                  <c:v>2008</c:v>
                </c:pt>
                <c:pt idx="27">
                  <c:v>2009</c:v>
                </c:pt>
                <c:pt idx="28">
                  <c:v>2010</c:v>
                </c:pt>
                <c:pt idx="29">
                  <c:v>2011</c:v>
                </c:pt>
                <c:pt idx="30">
                  <c:v>2012</c:v>
                </c:pt>
                <c:pt idx="31">
                  <c:v>2013</c:v>
                </c:pt>
                <c:pt idx="32">
                  <c:v>2014</c:v>
                </c:pt>
                <c:pt idx="33">
                  <c:v>2015</c:v>
                </c:pt>
                <c:pt idx="34">
                  <c:v>2016</c:v>
                </c:pt>
                <c:pt idx="35">
                  <c:v>2017</c:v>
                </c:pt>
              </c:numCache>
            </c:numRef>
          </c:cat>
          <c:val>
            <c:numRef>
              <c:f>'Fig3'!$K$2:$K$37</c:f>
              <c:numCache>
                <c:formatCode>0%</c:formatCode>
                <c:ptCount val="36"/>
                <c:pt idx="0">
                  <c:v>0.14222407855005581</c:v>
                </c:pt>
                <c:pt idx="1">
                  <c:v>0.12229194501077484</c:v>
                </c:pt>
                <c:pt idx="2">
                  <c:v>0.11583334494919223</c:v>
                </c:pt>
                <c:pt idx="3">
                  <c:v>0.11147677199692105</c:v>
                </c:pt>
                <c:pt idx="4">
                  <c:v>0.10229436345683539</c:v>
                </c:pt>
                <c:pt idx="5">
                  <c:v>9.0797397065260979E-2</c:v>
                </c:pt>
                <c:pt idx="6">
                  <c:v>8.9659721129535311E-2</c:v>
                </c:pt>
                <c:pt idx="7">
                  <c:v>8.5310686826815793E-2</c:v>
                </c:pt>
                <c:pt idx="8">
                  <c:v>8.5214619286315463E-2</c:v>
                </c:pt>
                <c:pt idx="9">
                  <c:v>8.287389297742298E-2</c:v>
                </c:pt>
                <c:pt idx="10">
                  <c:v>8.9384964491127233E-2</c:v>
                </c:pt>
                <c:pt idx="11">
                  <c:v>9.343261938821501E-2</c:v>
                </c:pt>
                <c:pt idx="12">
                  <c:v>9.3883909823866685E-2</c:v>
                </c:pt>
                <c:pt idx="13">
                  <c:v>8.8223417143100044E-2</c:v>
                </c:pt>
                <c:pt idx="14">
                  <c:v>9.993214127458809E-2</c:v>
                </c:pt>
                <c:pt idx="15">
                  <c:v>0.10621110612593566</c:v>
                </c:pt>
                <c:pt idx="16">
                  <c:v>0.11275368183825928</c:v>
                </c:pt>
                <c:pt idx="17">
                  <c:v>0.11337595118400862</c:v>
                </c:pt>
                <c:pt idx="18">
                  <c:v>0.11749306960544909</c:v>
                </c:pt>
                <c:pt idx="19">
                  <c:v>0.12039728116004261</c:v>
                </c:pt>
                <c:pt idx="20">
                  <c:v>0.12319285621438035</c:v>
                </c:pt>
                <c:pt idx="21">
                  <c:v>0.1148202619967849</c:v>
                </c:pt>
                <c:pt idx="22">
                  <c:v>0.10659371942481444</c:v>
                </c:pt>
                <c:pt idx="23">
                  <c:v>0.11120881720958249</c:v>
                </c:pt>
                <c:pt idx="24">
                  <c:v>0.11463367012057082</c:v>
                </c:pt>
                <c:pt idx="25">
                  <c:v>0.1157074178720533</c:v>
                </c:pt>
                <c:pt idx="26">
                  <c:v>0.11445363623330718</c:v>
                </c:pt>
                <c:pt idx="27">
                  <c:v>0.11736881922934531</c:v>
                </c:pt>
                <c:pt idx="28">
                  <c:v>0.12095727401915593</c:v>
                </c:pt>
                <c:pt idx="29">
                  <c:v>0.12082597770021218</c:v>
                </c:pt>
                <c:pt idx="30">
                  <c:v>0.12496291767985745</c:v>
                </c:pt>
                <c:pt idx="31">
                  <c:v>0.12863351084807037</c:v>
                </c:pt>
                <c:pt idx="32">
                  <c:v>0.12913539605242749</c:v>
                </c:pt>
                <c:pt idx="33">
                  <c:v>0.12748794435574709</c:v>
                </c:pt>
                <c:pt idx="34">
                  <c:v>0.12256905728760475</c:v>
                </c:pt>
                <c:pt idx="35">
                  <c:v>0.12311370681334331</c:v>
                </c:pt>
              </c:numCache>
            </c:numRef>
          </c:val>
          <c:smooth val="0"/>
          <c:extLst>
            <c:ext xmlns:c16="http://schemas.microsoft.com/office/drawing/2014/chart" uri="{C3380CC4-5D6E-409C-BE32-E72D297353CC}">
              <c16:uniqueId val="{00000001-C1D5-4C0B-B4BE-68814B07C208}"/>
            </c:ext>
          </c:extLst>
        </c:ser>
        <c:ser>
          <c:idx val="2"/>
          <c:order val="2"/>
          <c:tx>
            <c:strRef>
              <c:f>'Fig3'!$L$1</c:f>
              <c:strCache>
                <c:ptCount val="1"/>
                <c:pt idx="0">
                  <c:v>Asia</c:v>
                </c:pt>
              </c:strCache>
            </c:strRef>
          </c:tx>
          <c:spPr>
            <a:ln w="28575" cap="rnd">
              <a:solidFill>
                <a:schemeClr val="tx1"/>
              </a:solidFill>
              <a:prstDash val="dash"/>
              <a:round/>
            </a:ln>
            <a:effectLst/>
          </c:spPr>
          <c:marker>
            <c:symbol val="none"/>
          </c:marker>
          <c:cat>
            <c:numRef>
              <c:f>'Fig3'!$I$2:$I$37</c:f>
              <c:numCache>
                <c:formatCode>General</c:formatCode>
                <c:ptCount val="36"/>
                <c:pt idx="0">
                  <c:v>1982</c:v>
                </c:pt>
                <c:pt idx="1">
                  <c:v>1983</c:v>
                </c:pt>
                <c:pt idx="2">
                  <c:v>1984</c:v>
                </c:pt>
                <c:pt idx="3">
                  <c:v>1985</c:v>
                </c:pt>
                <c:pt idx="4">
                  <c:v>1986</c:v>
                </c:pt>
                <c:pt idx="5">
                  <c:v>1987</c:v>
                </c:pt>
                <c:pt idx="6">
                  <c:v>1988</c:v>
                </c:pt>
                <c:pt idx="7">
                  <c:v>1989</c:v>
                </c:pt>
                <c:pt idx="8">
                  <c:v>1990</c:v>
                </c:pt>
                <c:pt idx="9">
                  <c:v>1991</c:v>
                </c:pt>
                <c:pt idx="10">
                  <c:v>1992</c:v>
                </c:pt>
                <c:pt idx="11">
                  <c:v>1993</c:v>
                </c:pt>
                <c:pt idx="12">
                  <c:v>1994</c:v>
                </c:pt>
                <c:pt idx="13">
                  <c:v>1995</c:v>
                </c:pt>
                <c:pt idx="14">
                  <c:v>1996</c:v>
                </c:pt>
                <c:pt idx="15">
                  <c:v>1997</c:v>
                </c:pt>
                <c:pt idx="16">
                  <c:v>1998</c:v>
                </c:pt>
                <c:pt idx="17">
                  <c:v>1999</c:v>
                </c:pt>
                <c:pt idx="18">
                  <c:v>2000</c:v>
                </c:pt>
                <c:pt idx="19">
                  <c:v>2001</c:v>
                </c:pt>
                <c:pt idx="20">
                  <c:v>2002</c:v>
                </c:pt>
                <c:pt idx="21">
                  <c:v>2003</c:v>
                </c:pt>
                <c:pt idx="22">
                  <c:v>2004</c:v>
                </c:pt>
                <c:pt idx="23">
                  <c:v>2005</c:v>
                </c:pt>
                <c:pt idx="24">
                  <c:v>2006</c:v>
                </c:pt>
                <c:pt idx="25">
                  <c:v>2007</c:v>
                </c:pt>
                <c:pt idx="26">
                  <c:v>2008</c:v>
                </c:pt>
                <c:pt idx="27">
                  <c:v>2009</c:v>
                </c:pt>
                <c:pt idx="28">
                  <c:v>2010</c:v>
                </c:pt>
                <c:pt idx="29">
                  <c:v>2011</c:v>
                </c:pt>
                <c:pt idx="30">
                  <c:v>2012</c:v>
                </c:pt>
                <c:pt idx="31">
                  <c:v>2013</c:v>
                </c:pt>
                <c:pt idx="32">
                  <c:v>2014</c:v>
                </c:pt>
                <c:pt idx="33">
                  <c:v>2015</c:v>
                </c:pt>
                <c:pt idx="34">
                  <c:v>2016</c:v>
                </c:pt>
                <c:pt idx="35">
                  <c:v>2017</c:v>
                </c:pt>
              </c:numCache>
            </c:numRef>
          </c:cat>
          <c:val>
            <c:numRef>
              <c:f>'Fig3'!$L$2:$L$37</c:f>
              <c:numCache>
                <c:formatCode>0%</c:formatCode>
                <c:ptCount val="36"/>
                <c:pt idx="0">
                  <c:v>0.14450553588913159</c:v>
                </c:pt>
                <c:pt idx="1">
                  <c:v>0.14130836725412327</c:v>
                </c:pt>
                <c:pt idx="2">
                  <c:v>0.14540778634253773</c:v>
                </c:pt>
                <c:pt idx="3">
                  <c:v>0.14125750351788538</c:v>
                </c:pt>
                <c:pt idx="4">
                  <c:v>0.13409964878365824</c:v>
                </c:pt>
                <c:pt idx="5">
                  <c:v>0.14273347385355242</c:v>
                </c:pt>
                <c:pt idx="6">
                  <c:v>0.14876935313174247</c:v>
                </c:pt>
                <c:pt idx="7">
                  <c:v>0.1584758707643196</c:v>
                </c:pt>
                <c:pt idx="8">
                  <c:v>0.15552956968557924</c:v>
                </c:pt>
                <c:pt idx="9">
                  <c:v>0.16149392218954078</c:v>
                </c:pt>
                <c:pt idx="10">
                  <c:v>0.17930335563299318</c:v>
                </c:pt>
                <c:pt idx="11">
                  <c:v>0.18197801336442554</c:v>
                </c:pt>
                <c:pt idx="12">
                  <c:v>0.19575165697356572</c:v>
                </c:pt>
                <c:pt idx="13">
                  <c:v>0.19655385763438726</c:v>
                </c:pt>
                <c:pt idx="14">
                  <c:v>0.20302495788263653</c:v>
                </c:pt>
                <c:pt idx="15">
                  <c:v>0.20151481737781463</c:v>
                </c:pt>
                <c:pt idx="16">
                  <c:v>0.1858762245113745</c:v>
                </c:pt>
                <c:pt idx="17">
                  <c:v>0.19210931320965594</c:v>
                </c:pt>
                <c:pt idx="18">
                  <c:v>0.20843069386101243</c:v>
                </c:pt>
                <c:pt idx="19">
                  <c:v>0.20205160788905663</c:v>
                </c:pt>
                <c:pt idx="20">
                  <c:v>0.20650363068498248</c:v>
                </c:pt>
                <c:pt idx="21">
                  <c:v>0.20587485943517195</c:v>
                </c:pt>
                <c:pt idx="22">
                  <c:v>0.21317385407110151</c:v>
                </c:pt>
                <c:pt idx="23">
                  <c:v>0.21233885425603805</c:v>
                </c:pt>
                <c:pt idx="24">
                  <c:v>0.21811143290408591</c:v>
                </c:pt>
                <c:pt idx="25">
                  <c:v>0.21551132290304897</c:v>
                </c:pt>
                <c:pt idx="26">
                  <c:v>0.22121003781368168</c:v>
                </c:pt>
                <c:pt idx="27">
                  <c:v>0.23586982902375531</c:v>
                </c:pt>
                <c:pt idx="28">
                  <c:v>0.25139558123179523</c:v>
                </c:pt>
                <c:pt idx="29">
                  <c:v>0.25903893008644779</c:v>
                </c:pt>
                <c:pt idx="30">
                  <c:v>0.26298503800948331</c:v>
                </c:pt>
                <c:pt idx="31">
                  <c:v>0.27088927702245758</c:v>
                </c:pt>
                <c:pt idx="32">
                  <c:v>0.27079118247465106</c:v>
                </c:pt>
                <c:pt idx="33">
                  <c:v>0.2782889849296255</c:v>
                </c:pt>
                <c:pt idx="34">
                  <c:v>0.27516740690479785</c:v>
                </c:pt>
                <c:pt idx="35">
                  <c:v>0.2803441993315004</c:v>
                </c:pt>
              </c:numCache>
            </c:numRef>
          </c:val>
          <c:smooth val="0"/>
          <c:extLst>
            <c:ext xmlns:c16="http://schemas.microsoft.com/office/drawing/2014/chart" uri="{C3380CC4-5D6E-409C-BE32-E72D297353CC}">
              <c16:uniqueId val="{00000002-C1D5-4C0B-B4BE-68814B07C208}"/>
            </c:ext>
          </c:extLst>
        </c:ser>
        <c:ser>
          <c:idx val="3"/>
          <c:order val="3"/>
          <c:tx>
            <c:strRef>
              <c:f>'Fig3'!$M$1</c:f>
              <c:strCache>
                <c:ptCount val="1"/>
                <c:pt idx="0">
                  <c:v>Canada</c:v>
                </c:pt>
              </c:strCache>
            </c:strRef>
          </c:tx>
          <c:spPr>
            <a:ln w="28575" cap="rnd">
              <a:solidFill>
                <a:schemeClr val="tx1"/>
              </a:solidFill>
              <a:round/>
            </a:ln>
            <a:effectLst/>
          </c:spPr>
          <c:marker>
            <c:symbol val="circle"/>
            <c:size val="5"/>
            <c:spPr>
              <a:noFill/>
              <a:ln w="9525">
                <a:noFill/>
              </a:ln>
              <a:effectLst/>
            </c:spPr>
          </c:marker>
          <c:cat>
            <c:numRef>
              <c:f>'Fig3'!$I$2:$I$37</c:f>
              <c:numCache>
                <c:formatCode>General</c:formatCode>
                <c:ptCount val="36"/>
                <c:pt idx="0">
                  <c:v>1982</c:v>
                </c:pt>
                <c:pt idx="1">
                  <c:v>1983</c:v>
                </c:pt>
                <c:pt idx="2">
                  <c:v>1984</c:v>
                </c:pt>
                <c:pt idx="3">
                  <c:v>1985</c:v>
                </c:pt>
                <c:pt idx="4">
                  <c:v>1986</c:v>
                </c:pt>
                <c:pt idx="5">
                  <c:v>1987</c:v>
                </c:pt>
                <c:pt idx="6">
                  <c:v>1988</c:v>
                </c:pt>
                <c:pt idx="7">
                  <c:v>1989</c:v>
                </c:pt>
                <c:pt idx="8">
                  <c:v>1990</c:v>
                </c:pt>
                <c:pt idx="9">
                  <c:v>1991</c:v>
                </c:pt>
                <c:pt idx="10">
                  <c:v>1992</c:v>
                </c:pt>
                <c:pt idx="11">
                  <c:v>1993</c:v>
                </c:pt>
                <c:pt idx="12">
                  <c:v>1994</c:v>
                </c:pt>
                <c:pt idx="13">
                  <c:v>1995</c:v>
                </c:pt>
                <c:pt idx="14">
                  <c:v>1996</c:v>
                </c:pt>
                <c:pt idx="15">
                  <c:v>1997</c:v>
                </c:pt>
                <c:pt idx="16">
                  <c:v>1998</c:v>
                </c:pt>
                <c:pt idx="17">
                  <c:v>1999</c:v>
                </c:pt>
                <c:pt idx="18">
                  <c:v>2000</c:v>
                </c:pt>
                <c:pt idx="19">
                  <c:v>2001</c:v>
                </c:pt>
                <c:pt idx="20">
                  <c:v>2002</c:v>
                </c:pt>
                <c:pt idx="21">
                  <c:v>2003</c:v>
                </c:pt>
                <c:pt idx="22">
                  <c:v>2004</c:v>
                </c:pt>
                <c:pt idx="23">
                  <c:v>2005</c:v>
                </c:pt>
                <c:pt idx="24">
                  <c:v>2006</c:v>
                </c:pt>
                <c:pt idx="25">
                  <c:v>2007</c:v>
                </c:pt>
                <c:pt idx="26">
                  <c:v>2008</c:v>
                </c:pt>
                <c:pt idx="27">
                  <c:v>2009</c:v>
                </c:pt>
                <c:pt idx="28">
                  <c:v>2010</c:v>
                </c:pt>
                <c:pt idx="29">
                  <c:v>2011</c:v>
                </c:pt>
                <c:pt idx="30">
                  <c:v>2012</c:v>
                </c:pt>
                <c:pt idx="31">
                  <c:v>2013</c:v>
                </c:pt>
                <c:pt idx="32">
                  <c:v>2014</c:v>
                </c:pt>
                <c:pt idx="33">
                  <c:v>2015</c:v>
                </c:pt>
                <c:pt idx="34">
                  <c:v>2016</c:v>
                </c:pt>
                <c:pt idx="35">
                  <c:v>2017</c:v>
                </c:pt>
              </c:numCache>
            </c:numRef>
          </c:cat>
          <c:val>
            <c:numRef>
              <c:f>'Fig3'!$M$2:$M$37</c:f>
              <c:numCache>
                <c:formatCode>0%</c:formatCode>
                <c:ptCount val="36"/>
                <c:pt idx="0">
                  <c:v>0.14794963265250227</c:v>
                </c:pt>
                <c:pt idx="1">
                  <c:v>0.16939662317532597</c:v>
                </c:pt>
                <c:pt idx="2">
                  <c:v>0.18204513458134122</c:v>
                </c:pt>
                <c:pt idx="3">
                  <c:v>0.18366420663681621</c:v>
                </c:pt>
                <c:pt idx="4">
                  <c:v>0.17333061137196573</c:v>
                </c:pt>
                <c:pt idx="5">
                  <c:v>0.16611549879159968</c:v>
                </c:pt>
                <c:pt idx="6">
                  <c:v>0.16834072289052751</c:v>
                </c:pt>
                <c:pt idx="7">
                  <c:v>0.16985958355474595</c:v>
                </c:pt>
                <c:pt idx="8">
                  <c:v>0.14787946197663093</c:v>
                </c:pt>
                <c:pt idx="9">
                  <c:v>0.14243361888245543</c:v>
                </c:pt>
                <c:pt idx="10">
                  <c:v>0.13543772340628144</c:v>
                </c:pt>
                <c:pt idx="11">
                  <c:v>0.1421629989614156</c:v>
                </c:pt>
                <c:pt idx="12">
                  <c:v>0.13510959321011684</c:v>
                </c:pt>
                <c:pt idx="13">
                  <c:v>0.12590711261302748</c:v>
                </c:pt>
                <c:pt idx="14">
                  <c:v>0.12398185153709645</c:v>
                </c:pt>
                <c:pt idx="15">
                  <c:v>0.12494150868307718</c:v>
                </c:pt>
                <c:pt idx="16">
                  <c:v>0.12116684897731082</c:v>
                </c:pt>
                <c:pt idx="17">
                  <c:v>0.12674987437723784</c:v>
                </c:pt>
                <c:pt idx="18">
                  <c:v>0.13482234620027733</c:v>
                </c:pt>
                <c:pt idx="19">
                  <c:v>0.13438681317462475</c:v>
                </c:pt>
                <c:pt idx="20">
                  <c:v>0.12869682120779555</c:v>
                </c:pt>
                <c:pt idx="21">
                  <c:v>0.13044381141313111</c:v>
                </c:pt>
                <c:pt idx="22">
                  <c:v>0.12981795491121442</c:v>
                </c:pt>
                <c:pt idx="23">
                  <c:v>0.12403472316297351</c:v>
                </c:pt>
                <c:pt idx="24">
                  <c:v>0.11823381231287489</c:v>
                </c:pt>
                <c:pt idx="25">
                  <c:v>0.11405768987475225</c:v>
                </c:pt>
                <c:pt idx="26">
                  <c:v>0.1136695765576755</c:v>
                </c:pt>
                <c:pt idx="27">
                  <c:v>0.1057421252028003</c:v>
                </c:pt>
                <c:pt idx="28">
                  <c:v>0.11128354004490547</c:v>
                </c:pt>
                <c:pt idx="29">
                  <c:v>0.11232242044331002</c:v>
                </c:pt>
                <c:pt idx="30">
                  <c:v>0.11175631122999889</c:v>
                </c:pt>
                <c:pt idx="31">
                  <c:v>0.10685839568952921</c:v>
                </c:pt>
                <c:pt idx="32">
                  <c:v>0.10418224144257822</c:v>
                </c:pt>
                <c:pt idx="33">
                  <c:v>9.4567637722197825E-2</c:v>
                </c:pt>
                <c:pt idx="34">
                  <c:v>9.3602715194844324E-2</c:v>
                </c:pt>
                <c:pt idx="35">
                  <c:v>9.4431072130928842E-2</c:v>
                </c:pt>
              </c:numCache>
            </c:numRef>
          </c:val>
          <c:smooth val="0"/>
          <c:extLst>
            <c:ext xmlns:c16="http://schemas.microsoft.com/office/drawing/2014/chart" uri="{C3380CC4-5D6E-409C-BE32-E72D297353CC}">
              <c16:uniqueId val="{00000003-C1D5-4C0B-B4BE-68814B07C208}"/>
            </c:ext>
          </c:extLst>
        </c:ser>
        <c:dLbls>
          <c:showLegendKey val="0"/>
          <c:showVal val="0"/>
          <c:showCatName val="0"/>
          <c:showSerName val="0"/>
          <c:showPercent val="0"/>
          <c:showBubbleSize val="0"/>
        </c:dLbls>
        <c:marker val="1"/>
        <c:smooth val="0"/>
        <c:axId val="156269952"/>
        <c:axId val="159573504"/>
      </c:lineChart>
      <c:catAx>
        <c:axId val="156269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crossAx val="159573504"/>
        <c:crosses val="autoZero"/>
        <c:auto val="1"/>
        <c:lblAlgn val="ctr"/>
        <c:lblOffset val="100"/>
        <c:tickLblSkip val="5"/>
        <c:tickMarkSkip val="5"/>
        <c:noMultiLvlLbl val="0"/>
      </c:catAx>
      <c:valAx>
        <c:axId val="15957350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crossAx val="156269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306638830152655E-2"/>
          <c:y val="8.9135785139343809E-2"/>
          <c:w val="0.90147910707797518"/>
          <c:h val="0.76318114840455942"/>
        </c:manualLayout>
      </c:layout>
      <c:lineChart>
        <c:grouping val="standard"/>
        <c:varyColors val="0"/>
        <c:ser>
          <c:idx val="0"/>
          <c:order val="0"/>
          <c:tx>
            <c:strRef>
              <c:f>'Fig6'!$J$3</c:f>
              <c:strCache>
                <c:ptCount val="1"/>
                <c:pt idx="0">
                  <c:v>Private Sector Employment</c:v>
                </c:pt>
              </c:strCache>
            </c:strRef>
          </c:tx>
          <c:spPr>
            <a:ln w="28575" cap="rnd">
              <a:solidFill>
                <a:schemeClr val="tx1"/>
              </a:solidFill>
              <a:round/>
            </a:ln>
            <a:effectLst/>
          </c:spPr>
          <c:marker>
            <c:symbol val="none"/>
          </c:marker>
          <c:cat>
            <c:numRef>
              <c:f>'Fig6'!$I$4:$I$39</c:f>
              <c:numCache>
                <c:formatCode>General</c:formatCode>
                <c:ptCount val="36"/>
                <c:pt idx="0">
                  <c:v>1982</c:v>
                </c:pt>
                <c:pt idx="1">
                  <c:v>1983</c:v>
                </c:pt>
                <c:pt idx="2">
                  <c:v>1984</c:v>
                </c:pt>
                <c:pt idx="3">
                  <c:v>1985</c:v>
                </c:pt>
                <c:pt idx="4">
                  <c:v>1986</c:v>
                </c:pt>
                <c:pt idx="5">
                  <c:v>1987</c:v>
                </c:pt>
                <c:pt idx="6">
                  <c:v>1988</c:v>
                </c:pt>
                <c:pt idx="7">
                  <c:v>1989</c:v>
                </c:pt>
                <c:pt idx="8">
                  <c:v>1990</c:v>
                </c:pt>
                <c:pt idx="9">
                  <c:v>1991</c:v>
                </c:pt>
                <c:pt idx="10">
                  <c:v>1992</c:v>
                </c:pt>
                <c:pt idx="11">
                  <c:v>1993</c:v>
                </c:pt>
                <c:pt idx="12">
                  <c:v>1994</c:v>
                </c:pt>
                <c:pt idx="13">
                  <c:v>1995</c:v>
                </c:pt>
                <c:pt idx="14">
                  <c:v>1996</c:v>
                </c:pt>
                <c:pt idx="15">
                  <c:v>1997</c:v>
                </c:pt>
                <c:pt idx="16">
                  <c:v>1998</c:v>
                </c:pt>
                <c:pt idx="17">
                  <c:v>1999</c:v>
                </c:pt>
                <c:pt idx="18">
                  <c:v>2000</c:v>
                </c:pt>
                <c:pt idx="19">
                  <c:v>2001</c:v>
                </c:pt>
                <c:pt idx="20">
                  <c:v>2002</c:v>
                </c:pt>
                <c:pt idx="21">
                  <c:v>2003</c:v>
                </c:pt>
                <c:pt idx="22">
                  <c:v>2004</c:v>
                </c:pt>
                <c:pt idx="23">
                  <c:v>2005</c:v>
                </c:pt>
                <c:pt idx="24">
                  <c:v>2006</c:v>
                </c:pt>
                <c:pt idx="25">
                  <c:v>2007</c:v>
                </c:pt>
                <c:pt idx="26">
                  <c:v>2008</c:v>
                </c:pt>
                <c:pt idx="27">
                  <c:v>2009</c:v>
                </c:pt>
                <c:pt idx="28">
                  <c:v>2010</c:v>
                </c:pt>
                <c:pt idx="29">
                  <c:v>2011</c:v>
                </c:pt>
                <c:pt idx="30">
                  <c:v>2012</c:v>
                </c:pt>
                <c:pt idx="31">
                  <c:v>2013</c:v>
                </c:pt>
                <c:pt idx="32">
                  <c:v>2014</c:v>
                </c:pt>
                <c:pt idx="33">
                  <c:v>2015</c:v>
                </c:pt>
                <c:pt idx="34">
                  <c:v>2016</c:v>
                </c:pt>
                <c:pt idx="35">
                  <c:v>2017</c:v>
                </c:pt>
              </c:numCache>
            </c:numRef>
          </c:cat>
          <c:val>
            <c:numRef>
              <c:f>'Fig6'!$J$4:$J$39</c:f>
              <c:numCache>
                <c:formatCode>0.0%</c:formatCode>
                <c:ptCount val="36"/>
                <c:pt idx="0">
                  <c:v>0.23911892921519246</c:v>
                </c:pt>
                <c:pt idx="1">
                  <c:v>0.23309094594423402</c:v>
                </c:pt>
                <c:pt idx="2">
                  <c:v>0.21816595672995934</c:v>
                </c:pt>
                <c:pt idx="3">
                  <c:v>0.21242963032463874</c:v>
                </c:pt>
                <c:pt idx="4">
                  <c:v>0.20550414308928097</c:v>
                </c:pt>
                <c:pt idx="5">
                  <c:v>0.20147641984989356</c:v>
                </c:pt>
                <c:pt idx="6">
                  <c:v>0.19272877414868417</c:v>
                </c:pt>
                <c:pt idx="7">
                  <c:v>0.19899259824818138</c:v>
                </c:pt>
                <c:pt idx="8">
                  <c:v>0.19352626770694417</c:v>
                </c:pt>
                <c:pt idx="9">
                  <c:v>0.19154321185166226</c:v>
                </c:pt>
                <c:pt idx="10">
                  <c:v>0.1861879978757302</c:v>
                </c:pt>
                <c:pt idx="11">
                  <c:v>0.18248215437764043</c:v>
                </c:pt>
                <c:pt idx="12">
                  <c:v>0.18781005948286328</c:v>
                </c:pt>
                <c:pt idx="13">
                  <c:v>0.18277544916071395</c:v>
                </c:pt>
                <c:pt idx="14">
                  <c:v>0.18097412041183891</c:v>
                </c:pt>
                <c:pt idx="15">
                  <c:v>0.18629347428796356</c:v>
                </c:pt>
                <c:pt idx="16">
                  <c:v>0.18066615620214393</c:v>
                </c:pt>
                <c:pt idx="17">
                  <c:v>0.20496035634743875</c:v>
                </c:pt>
                <c:pt idx="18">
                  <c:v>0.20842415727885932</c:v>
                </c:pt>
                <c:pt idx="19">
                  <c:v>0.19929608948341909</c:v>
                </c:pt>
                <c:pt idx="20">
                  <c:v>0.19641058885169035</c:v>
                </c:pt>
                <c:pt idx="21">
                  <c:v>0.18814342004386042</c:v>
                </c:pt>
                <c:pt idx="22">
                  <c:v>0.18646866139513588</c:v>
                </c:pt>
                <c:pt idx="23">
                  <c:v>0.18606908265307892</c:v>
                </c:pt>
                <c:pt idx="24">
                  <c:v>0.1836828687967369</c:v>
                </c:pt>
                <c:pt idx="25">
                  <c:v>0.18116844901802531</c:v>
                </c:pt>
                <c:pt idx="26">
                  <c:v>0.1771226155267239</c:v>
                </c:pt>
                <c:pt idx="27">
                  <c:v>0.20558225011205739</c:v>
                </c:pt>
                <c:pt idx="28">
                  <c:v>0.20585376868536331</c:v>
                </c:pt>
                <c:pt idx="29">
                  <c:v>0.20414791139521463</c:v>
                </c:pt>
                <c:pt idx="30">
                  <c:v>0.19989698664288993</c:v>
                </c:pt>
                <c:pt idx="31">
                  <c:v>0.19807261621988462</c:v>
                </c:pt>
                <c:pt idx="32">
                  <c:v>0.22862067822455001</c:v>
                </c:pt>
                <c:pt idx="33">
                  <c:v>0.22710826787594135</c:v>
                </c:pt>
                <c:pt idx="34">
                  <c:v>0.22309566269664352</c:v>
                </c:pt>
                <c:pt idx="35">
                  <c:v>0.22027165938213578</c:v>
                </c:pt>
              </c:numCache>
            </c:numRef>
          </c:val>
          <c:smooth val="0"/>
          <c:extLst>
            <c:ext xmlns:c16="http://schemas.microsoft.com/office/drawing/2014/chart" uri="{C3380CC4-5D6E-409C-BE32-E72D297353CC}">
              <c16:uniqueId val="{00000000-FE85-4FB4-9D74-DFA64604B9C9}"/>
            </c:ext>
          </c:extLst>
        </c:ser>
        <c:ser>
          <c:idx val="2"/>
          <c:order val="1"/>
          <c:tx>
            <c:strRef>
              <c:f>'Fig6'!$L$3</c:f>
              <c:strCache>
                <c:ptCount val="1"/>
                <c:pt idx="0">
                  <c:v>Capital Expenditures</c:v>
                </c:pt>
              </c:strCache>
            </c:strRef>
          </c:tx>
          <c:spPr>
            <a:ln w="28575" cap="rnd">
              <a:solidFill>
                <a:schemeClr val="accent3"/>
              </a:solidFill>
              <a:round/>
            </a:ln>
            <a:effectLst/>
          </c:spPr>
          <c:marker>
            <c:symbol val="none"/>
          </c:marker>
          <c:cat>
            <c:numRef>
              <c:f>'Fig6'!$I$4:$I$39</c:f>
              <c:numCache>
                <c:formatCode>General</c:formatCode>
                <c:ptCount val="36"/>
                <c:pt idx="0">
                  <c:v>1982</c:v>
                </c:pt>
                <c:pt idx="1">
                  <c:v>1983</c:v>
                </c:pt>
                <c:pt idx="2">
                  <c:v>1984</c:v>
                </c:pt>
                <c:pt idx="3">
                  <c:v>1985</c:v>
                </c:pt>
                <c:pt idx="4">
                  <c:v>1986</c:v>
                </c:pt>
                <c:pt idx="5">
                  <c:v>1987</c:v>
                </c:pt>
                <c:pt idx="6">
                  <c:v>1988</c:v>
                </c:pt>
                <c:pt idx="7">
                  <c:v>1989</c:v>
                </c:pt>
                <c:pt idx="8">
                  <c:v>1990</c:v>
                </c:pt>
                <c:pt idx="9">
                  <c:v>1991</c:v>
                </c:pt>
                <c:pt idx="10">
                  <c:v>1992</c:v>
                </c:pt>
                <c:pt idx="11">
                  <c:v>1993</c:v>
                </c:pt>
                <c:pt idx="12">
                  <c:v>1994</c:v>
                </c:pt>
                <c:pt idx="13">
                  <c:v>1995</c:v>
                </c:pt>
                <c:pt idx="14">
                  <c:v>1996</c:v>
                </c:pt>
                <c:pt idx="15">
                  <c:v>1997</c:v>
                </c:pt>
                <c:pt idx="16">
                  <c:v>1998</c:v>
                </c:pt>
                <c:pt idx="17">
                  <c:v>1999</c:v>
                </c:pt>
                <c:pt idx="18">
                  <c:v>2000</c:v>
                </c:pt>
                <c:pt idx="19">
                  <c:v>2001</c:v>
                </c:pt>
                <c:pt idx="20">
                  <c:v>2002</c:v>
                </c:pt>
                <c:pt idx="21">
                  <c:v>2003</c:v>
                </c:pt>
                <c:pt idx="22">
                  <c:v>2004</c:v>
                </c:pt>
                <c:pt idx="23">
                  <c:v>2005</c:v>
                </c:pt>
                <c:pt idx="24">
                  <c:v>2006</c:v>
                </c:pt>
                <c:pt idx="25">
                  <c:v>2007</c:v>
                </c:pt>
                <c:pt idx="26">
                  <c:v>2008</c:v>
                </c:pt>
                <c:pt idx="27">
                  <c:v>2009</c:v>
                </c:pt>
                <c:pt idx="28">
                  <c:v>2010</c:v>
                </c:pt>
                <c:pt idx="29">
                  <c:v>2011</c:v>
                </c:pt>
                <c:pt idx="30">
                  <c:v>2012</c:v>
                </c:pt>
                <c:pt idx="31">
                  <c:v>2013</c:v>
                </c:pt>
                <c:pt idx="32">
                  <c:v>2014</c:v>
                </c:pt>
                <c:pt idx="33">
                  <c:v>2015</c:v>
                </c:pt>
                <c:pt idx="34">
                  <c:v>2016</c:v>
                </c:pt>
                <c:pt idx="35">
                  <c:v>2017</c:v>
                </c:pt>
              </c:numCache>
            </c:numRef>
          </c:cat>
          <c:val>
            <c:numRef>
              <c:f>'Fig6'!$L$4:$L$39</c:f>
              <c:numCache>
                <c:formatCode>0%</c:formatCode>
                <c:ptCount val="36"/>
                <c:pt idx="0">
                  <c:v>0.38510866035208685</c:v>
                </c:pt>
                <c:pt idx="1">
                  <c:v>0.30739029360273223</c:v>
                </c:pt>
                <c:pt idx="2">
                  <c:v>0.31610033241765451</c:v>
                </c:pt>
                <c:pt idx="3">
                  <c:v>0.33396386135843892</c:v>
                </c:pt>
                <c:pt idx="4">
                  <c:v>0.30007611416770313</c:v>
                </c:pt>
                <c:pt idx="5">
                  <c:v>0.27968743261775181</c:v>
                </c:pt>
                <c:pt idx="6">
                  <c:v>0.29961584893665227</c:v>
                </c:pt>
                <c:pt idx="7">
                  <c:v>0.30292586566115676</c:v>
                </c:pt>
                <c:pt idx="8">
                  <c:v>0.30946270759354871</c:v>
                </c:pt>
                <c:pt idx="9">
                  <c:v>0.29184038117927336</c:v>
                </c:pt>
                <c:pt idx="10">
                  <c:v>0.28807431327947075</c:v>
                </c:pt>
                <c:pt idx="11">
                  <c:v>0.27503148906832131</c:v>
                </c:pt>
                <c:pt idx="12">
                  <c:v>0.28796258126679347</c:v>
                </c:pt>
                <c:pt idx="13">
                  <c:v>0.30343110567365039</c:v>
                </c:pt>
                <c:pt idx="14">
                  <c:v>0.3070779019114433</c:v>
                </c:pt>
                <c:pt idx="15">
                  <c:v>0.34385535363239311</c:v>
                </c:pt>
                <c:pt idx="16">
                  <c:v>0.34494068721915061</c:v>
                </c:pt>
                <c:pt idx="17">
                  <c:v>0.36768549141739565</c:v>
                </c:pt>
                <c:pt idx="18">
                  <c:v>0.37198383444073424</c:v>
                </c:pt>
                <c:pt idx="19">
                  <c:v>0.39083695130138291</c:v>
                </c:pt>
                <c:pt idx="20">
                  <c:v>0.32204836764458405</c:v>
                </c:pt>
                <c:pt idx="21">
                  <c:v>0.28824175209130715</c:v>
                </c:pt>
                <c:pt idx="22">
                  <c:v>0.27383033634712706</c:v>
                </c:pt>
                <c:pt idx="23">
                  <c:v>0.29436963883367245</c:v>
                </c:pt>
                <c:pt idx="24">
                  <c:v>0.32655023268707001</c:v>
                </c:pt>
                <c:pt idx="25">
                  <c:v>0.35728602803552945</c:v>
                </c:pt>
                <c:pt idx="26">
                  <c:v>0.35564387354228588</c:v>
                </c:pt>
                <c:pt idx="27">
                  <c:v>0.27146924818416324</c:v>
                </c:pt>
                <c:pt idx="28">
                  <c:v>0.27247140166292605</c:v>
                </c:pt>
                <c:pt idx="29">
                  <c:v>0.31180562980746224</c:v>
                </c:pt>
                <c:pt idx="30">
                  <c:v>0.3297170069454905</c:v>
                </c:pt>
                <c:pt idx="31">
                  <c:v>0.3276318169984247</c:v>
                </c:pt>
                <c:pt idx="32">
                  <c:v>0.34121241493851201</c:v>
                </c:pt>
                <c:pt idx="33">
                  <c:v>0.32514487529317282</c:v>
                </c:pt>
                <c:pt idx="34">
                  <c:v>0.2915809268221507</c:v>
                </c:pt>
                <c:pt idx="35">
                  <c:v>0.29039111282895397</c:v>
                </c:pt>
              </c:numCache>
            </c:numRef>
          </c:val>
          <c:smooth val="0"/>
          <c:extLst>
            <c:ext xmlns:c16="http://schemas.microsoft.com/office/drawing/2014/chart" uri="{C3380CC4-5D6E-409C-BE32-E72D297353CC}">
              <c16:uniqueId val="{00000001-FE85-4FB4-9D74-DFA64604B9C9}"/>
            </c:ext>
          </c:extLst>
        </c:ser>
        <c:dLbls>
          <c:showLegendKey val="0"/>
          <c:showVal val="0"/>
          <c:showCatName val="0"/>
          <c:showSerName val="0"/>
          <c:showPercent val="0"/>
          <c:showBubbleSize val="0"/>
        </c:dLbls>
        <c:smooth val="0"/>
        <c:axId val="162212480"/>
        <c:axId val="162226560"/>
      </c:lineChart>
      <c:catAx>
        <c:axId val="162212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crossAx val="162226560"/>
        <c:crosses val="autoZero"/>
        <c:auto val="1"/>
        <c:lblAlgn val="ctr"/>
        <c:lblOffset val="100"/>
        <c:tickLblSkip val="5"/>
        <c:noMultiLvlLbl val="0"/>
      </c:catAx>
      <c:valAx>
        <c:axId val="162226560"/>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crossAx val="162212480"/>
        <c:crosses val="autoZero"/>
        <c:crossBetween val="between"/>
      </c:valAx>
      <c:spPr>
        <a:noFill/>
        <a:ln>
          <a:noFill/>
        </a:ln>
        <a:effectLst/>
      </c:spPr>
    </c:plotArea>
    <c:legend>
      <c:legendPos val="b"/>
      <c:layout>
        <c:manualLayout>
          <c:xMode val="edge"/>
          <c:yMode val="edge"/>
          <c:x val="0.24896666786651642"/>
          <c:y val="0.92132012806063424"/>
          <c:w val="0.5232657018028819"/>
          <c:h val="3.917370678065387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'Fig7'!$P$2</c:f>
              <c:strCache>
                <c:ptCount val="1"/>
                <c:pt idx="0">
                  <c:v>Share of U.S. Multinational Employment Accounted for by Foreign Affiliates</c:v>
                </c:pt>
              </c:strCache>
            </c:strRef>
          </c:tx>
          <c:spPr>
            <a:ln w="28575" cap="rnd">
              <a:solidFill>
                <a:schemeClr val="tx1"/>
              </a:solidFill>
              <a:round/>
            </a:ln>
            <a:effectLst/>
          </c:spPr>
          <c:marker>
            <c:symbol val="none"/>
          </c:marker>
          <c:cat>
            <c:numRef>
              <c:f>'Fig7'!$O$3:$O$38</c:f>
              <c:numCache>
                <c:formatCode>General</c:formatCode>
                <c:ptCount val="36"/>
                <c:pt idx="0">
                  <c:v>1982</c:v>
                </c:pt>
                <c:pt idx="1">
                  <c:v>1983</c:v>
                </c:pt>
                <c:pt idx="2">
                  <c:v>1984</c:v>
                </c:pt>
                <c:pt idx="3">
                  <c:v>1985</c:v>
                </c:pt>
                <c:pt idx="4">
                  <c:v>1986</c:v>
                </c:pt>
                <c:pt idx="5">
                  <c:v>1987</c:v>
                </c:pt>
                <c:pt idx="6">
                  <c:v>1988</c:v>
                </c:pt>
                <c:pt idx="7">
                  <c:v>1989</c:v>
                </c:pt>
                <c:pt idx="8">
                  <c:v>1990</c:v>
                </c:pt>
                <c:pt idx="9">
                  <c:v>1991</c:v>
                </c:pt>
                <c:pt idx="10">
                  <c:v>1992</c:v>
                </c:pt>
                <c:pt idx="11">
                  <c:v>1993</c:v>
                </c:pt>
                <c:pt idx="12">
                  <c:v>1994</c:v>
                </c:pt>
                <c:pt idx="13">
                  <c:v>1995</c:v>
                </c:pt>
                <c:pt idx="14">
                  <c:v>1996</c:v>
                </c:pt>
                <c:pt idx="15">
                  <c:v>1997</c:v>
                </c:pt>
                <c:pt idx="16">
                  <c:v>1998</c:v>
                </c:pt>
                <c:pt idx="17">
                  <c:v>1999</c:v>
                </c:pt>
                <c:pt idx="18">
                  <c:v>2000</c:v>
                </c:pt>
                <c:pt idx="19">
                  <c:v>2001</c:v>
                </c:pt>
                <c:pt idx="20">
                  <c:v>2002</c:v>
                </c:pt>
                <c:pt idx="21">
                  <c:v>2003</c:v>
                </c:pt>
                <c:pt idx="22">
                  <c:v>2004</c:v>
                </c:pt>
                <c:pt idx="23">
                  <c:v>2005</c:v>
                </c:pt>
                <c:pt idx="24">
                  <c:v>2006</c:v>
                </c:pt>
                <c:pt idx="25">
                  <c:v>2007</c:v>
                </c:pt>
                <c:pt idx="26">
                  <c:v>2008</c:v>
                </c:pt>
                <c:pt idx="27">
                  <c:v>2009</c:v>
                </c:pt>
                <c:pt idx="28">
                  <c:v>2010</c:v>
                </c:pt>
                <c:pt idx="29">
                  <c:v>2011</c:v>
                </c:pt>
                <c:pt idx="30">
                  <c:v>2012</c:v>
                </c:pt>
                <c:pt idx="31">
                  <c:v>2013</c:v>
                </c:pt>
                <c:pt idx="32">
                  <c:v>2014</c:v>
                </c:pt>
                <c:pt idx="33">
                  <c:v>2015</c:v>
                </c:pt>
                <c:pt idx="34">
                  <c:v>2016</c:v>
                </c:pt>
                <c:pt idx="35">
                  <c:v>2017</c:v>
                </c:pt>
              </c:numCache>
            </c:numRef>
          </c:cat>
          <c:val>
            <c:numRef>
              <c:f>'Fig7'!$P$3:$P$38</c:f>
              <c:numCache>
                <c:formatCode>0%</c:formatCode>
                <c:ptCount val="36"/>
                <c:pt idx="0">
                  <c:v>0.21167446369115353</c:v>
                </c:pt>
                <c:pt idx="1">
                  <c:v>0.20872915869281949</c:v>
                </c:pt>
                <c:pt idx="2">
                  <c:v>0.21075977468810667</c:v>
                </c:pt>
                <c:pt idx="3">
                  <c:v>0.20985036862539805</c:v>
                </c:pt>
                <c:pt idx="4">
                  <c:v>0.20899077766589336</c:v>
                </c:pt>
                <c:pt idx="5">
                  <c:v>0.20592494481236201</c:v>
                </c:pt>
                <c:pt idx="6">
                  <c:v>0.21159564585453886</c:v>
                </c:pt>
                <c:pt idx="7">
                  <c:v>0.21415948474417279</c:v>
                </c:pt>
                <c:pt idx="8">
                  <c:v>0.22517731241880626</c:v>
                </c:pt>
                <c:pt idx="9">
                  <c:v>0.23073067927728802</c:v>
                </c:pt>
                <c:pt idx="10">
                  <c:v>0.23156233561283535</c:v>
                </c:pt>
                <c:pt idx="11">
                  <c:v>0.22949271096036064</c:v>
                </c:pt>
                <c:pt idx="12">
                  <c:v>0.23512617159336699</c:v>
                </c:pt>
                <c:pt idx="13">
                  <c:v>0.24177847075678477</c:v>
                </c:pt>
                <c:pt idx="14">
                  <c:v>0.24437402480415657</c:v>
                </c:pt>
                <c:pt idx="15">
                  <c:v>0.24584273925827563</c:v>
                </c:pt>
                <c:pt idx="16">
                  <c:v>0.25469580226301003</c:v>
                </c:pt>
                <c:pt idx="17">
                  <c:v>0.25236086648511991</c:v>
                </c:pt>
                <c:pt idx="18">
                  <c:v>0.25490538609833857</c:v>
                </c:pt>
                <c:pt idx="19">
                  <c:v>0.2649308743840772</c:v>
                </c:pt>
                <c:pt idx="20">
                  <c:v>0.2718054073986278</c:v>
                </c:pt>
                <c:pt idx="21">
                  <c:v>0.28085323883190788</c:v>
                </c:pt>
                <c:pt idx="22">
                  <c:v>0.29040786510829941</c:v>
                </c:pt>
                <c:pt idx="23">
                  <c:v>0.29768785181841673</c:v>
                </c:pt>
                <c:pt idx="24">
                  <c:v>0.30792233904947303</c:v>
                </c:pt>
                <c:pt idx="25">
                  <c:v>0.31723012578815629</c:v>
                </c:pt>
                <c:pt idx="26">
                  <c:v>0.32417838250320108</c:v>
                </c:pt>
                <c:pt idx="27">
                  <c:v>0.32004115445968462</c:v>
                </c:pt>
                <c:pt idx="28">
                  <c:v>0.33172748464278906</c:v>
                </c:pt>
                <c:pt idx="29">
                  <c:v>0.34008908174627772</c:v>
                </c:pt>
                <c:pt idx="30">
                  <c:v>0.34434519415325554</c:v>
                </c:pt>
                <c:pt idx="31">
                  <c:v>0.34721173793188281</c:v>
                </c:pt>
                <c:pt idx="32">
                  <c:v>0.33747682494548459</c:v>
                </c:pt>
                <c:pt idx="33">
                  <c:v>0.33425436659972563</c:v>
                </c:pt>
                <c:pt idx="34">
                  <c:v>0.3373391978811956</c:v>
                </c:pt>
                <c:pt idx="35">
                  <c:v>0.33905173164810898</c:v>
                </c:pt>
              </c:numCache>
            </c:numRef>
          </c:val>
          <c:smooth val="0"/>
          <c:extLst>
            <c:ext xmlns:c16="http://schemas.microsoft.com/office/drawing/2014/chart" uri="{C3380CC4-5D6E-409C-BE32-E72D297353CC}">
              <c16:uniqueId val="{00000000-4F80-480B-81B5-6FA67EDE4661}"/>
            </c:ext>
          </c:extLst>
        </c:ser>
        <c:dLbls>
          <c:showLegendKey val="0"/>
          <c:showVal val="0"/>
          <c:showCatName val="0"/>
          <c:showSerName val="0"/>
          <c:showPercent val="0"/>
          <c:showBubbleSize val="0"/>
        </c:dLbls>
        <c:smooth val="0"/>
        <c:axId val="162661888"/>
        <c:axId val="162663424"/>
      </c:lineChart>
      <c:catAx>
        <c:axId val="162661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crossAx val="162663424"/>
        <c:crosses val="autoZero"/>
        <c:auto val="1"/>
        <c:lblAlgn val="ctr"/>
        <c:lblOffset val="100"/>
        <c:tickLblSkip val="5"/>
        <c:noMultiLvlLbl val="0"/>
      </c:catAx>
      <c:valAx>
        <c:axId val="16266342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crossAx val="1626618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'Fig12'!$B$2</c:f>
              <c:strCache>
                <c:ptCount val="1"/>
                <c:pt idx="0">
                  <c:v>U.S. Parent Share of U.S. Business R&amp;D</c:v>
                </c:pt>
              </c:strCache>
            </c:strRef>
          </c:tx>
          <c:spPr>
            <a:ln w="28575" cap="rnd">
              <a:solidFill>
                <a:schemeClr val="tx1"/>
              </a:solidFill>
              <a:round/>
            </a:ln>
            <a:effectLst/>
          </c:spPr>
          <c:marker>
            <c:symbol val="none"/>
          </c:marker>
          <c:cat>
            <c:numRef>
              <c:f>'Fig12'!$A$3:$A$31</c:f>
              <c:numCache>
                <c:formatCode>General</c:formatCode>
                <c:ptCount val="29"/>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pt idx="24">
                  <c:v>2013</c:v>
                </c:pt>
                <c:pt idx="25">
                  <c:v>2014</c:v>
                </c:pt>
                <c:pt idx="26">
                  <c:v>2015</c:v>
                </c:pt>
                <c:pt idx="27">
                  <c:v>2016</c:v>
                </c:pt>
                <c:pt idx="28">
                  <c:v>2017</c:v>
                </c:pt>
              </c:numCache>
            </c:numRef>
          </c:cat>
          <c:val>
            <c:numRef>
              <c:f>'Fig12'!$B$3:$B$31</c:f>
              <c:numCache>
                <c:formatCode>0%</c:formatCode>
                <c:ptCount val="29"/>
                <c:pt idx="0">
                  <c:v>0.82342279190867218</c:v>
                </c:pt>
                <c:pt idx="1">
                  <c:v>0.60180253994264643</c:v>
                </c:pt>
                <c:pt idx="2">
                  <c:v>0.58745149335077396</c:v>
                </c:pt>
                <c:pt idx="3">
                  <c:v>0.6175818152230701</c:v>
                </c:pt>
                <c:pt idx="4">
                  <c:v>0.63417507688309438</c:v>
                </c:pt>
                <c:pt idx="5">
                  <c:v>0.78007019217663898</c:v>
                </c:pt>
                <c:pt idx="6">
                  <c:v>0.75226835092043443</c:v>
                </c:pt>
                <c:pt idx="7">
                  <c:v>0.70626040415534064</c:v>
                </c:pt>
                <c:pt idx="8">
                  <c:v>0.68721888693705002</c:v>
                </c:pt>
                <c:pt idx="9">
                  <c:v>0.68088353221385745</c:v>
                </c:pt>
                <c:pt idx="10">
                  <c:v>0.69356362238453517</c:v>
                </c:pt>
                <c:pt idx="11">
                  <c:v>0.67746710608568672</c:v>
                </c:pt>
                <c:pt idx="12">
                  <c:v>0.70794537093412935</c:v>
                </c:pt>
                <c:pt idx="13">
                  <c:v>0.70654775414199356</c:v>
                </c:pt>
                <c:pt idx="14">
                  <c:v>0.69689723202008724</c:v>
                </c:pt>
                <c:pt idx="15">
                  <c:v>0.78822953322355627</c:v>
                </c:pt>
                <c:pt idx="16">
                  <c:v>0.78527938308888878</c:v>
                </c:pt>
                <c:pt idx="17">
                  <c:v>0.74465516475618665</c:v>
                </c:pt>
                <c:pt idx="18">
                  <c:v>0.75641649366613806</c:v>
                </c:pt>
                <c:pt idx="19">
                  <c:v>0.68378285399752303</c:v>
                </c:pt>
                <c:pt idx="20">
                  <c:v>0.73407272843165372</c:v>
                </c:pt>
                <c:pt idx="21">
                  <c:v>0.73724357205074253</c:v>
                </c:pt>
                <c:pt idx="22">
                  <c:v>0.74901391401330197</c:v>
                </c:pt>
                <c:pt idx="23">
                  <c:v>0.7707335955877731</c:v>
                </c:pt>
                <c:pt idx="24">
                  <c:v>0.75133631808711177</c:v>
                </c:pt>
                <c:pt idx="25">
                  <c:v>0.8084953393909512</c:v>
                </c:pt>
                <c:pt idx="26">
                  <c:v>0.78069310130655578</c:v>
                </c:pt>
                <c:pt idx="27">
                  <c:v>0.77171199999999995</c:v>
                </c:pt>
                <c:pt idx="28">
                  <c:v>0.74561609597600598</c:v>
                </c:pt>
              </c:numCache>
            </c:numRef>
          </c:val>
          <c:smooth val="0"/>
          <c:extLst>
            <c:ext xmlns:c16="http://schemas.microsoft.com/office/drawing/2014/chart" uri="{C3380CC4-5D6E-409C-BE32-E72D297353CC}">
              <c16:uniqueId val="{00000000-3EB9-4D08-9174-5280E2DC9EEC}"/>
            </c:ext>
          </c:extLst>
        </c:ser>
        <c:dLbls>
          <c:showLegendKey val="0"/>
          <c:showVal val="0"/>
          <c:showCatName val="0"/>
          <c:showSerName val="0"/>
          <c:showPercent val="0"/>
          <c:showBubbleSize val="0"/>
        </c:dLbls>
        <c:smooth val="0"/>
        <c:axId val="183338112"/>
        <c:axId val="183339648"/>
      </c:lineChart>
      <c:catAx>
        <c:axId val="183338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crossAx val="183339648"/>
        <c:crosses val="autoZero"/>
        <c:auto val="1"/>
        <c:lblAlgn val="ctr"/>
        <c:lblOffset val="100"/>
        <c:tickLblSkip val="5"/>
        <c:noMultiLvlLbl val="0"/>
      </c:catAx>
      <c:valAx>
        <c:axId val="18333964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crossAx val="1833381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'Fig13'!$L$4</c:f>
              <c:strCache>
                <c:ptCount val="1"/>
                <c:pt idx="0">
                  <c:v>U.S. Exports</c:v>
                </c:pt>
              </c:strCache>
            </c:strRef>
          </c:tx>
          <c:spPr>
            <a:ln w="28575" cap="rnd">
              <a:solidFill>
                <a:schemeClr val="tx1"/>
              </a:solidFill>
              <a:round/>
            </a:ln>
            <a:effectLst/>
          </c:spPr>
          <c:marker>
            <c:symbol val="none"/>
          </c:marker>
          <c:cat>
            <c:numRef>
              <c:f>'Fig13'!$K$5:$K$40</c:f>
              <c:numCache>
                <c:formatCode>General</c:formatCode>
                <c:ptCount val="36"/>
                <c:pt idx="0">
                  <c:v>1982</c:v>
                </c:pt>
                <c:pt idx="1">
                  <c:v>1983</c:v>
                </c:pt>
                <c:pt idx="2">
                  <c:v>1984</c:v>
                </c:pt>
                <c:pt idx="3">
                  <c:v>1985</c:v>
                </c:pt>
                <c:pt idx="4">
                  <c:v>1986</c:v>
                </c:pt>
                <c:pt idx="5">
                  <c:v>1987</c:v>
                </c:pt>
                <c:pt idx="6">
                  <c:v>1988</c:v>
                </c:pt>
                <c:pt idx="7">
                  <c:v>1989</c:v>
                </c:pt>
                <c:pt idx="8">
                  <c:v>1990</c:v>
                </c:pt>
                <c:pt idx="9">
                  <c:v>1991</c:v>
                </c:pt>
                <c:pt idx="10">
                  <c:v>1992</c:v>
                </c:pt>
                <c:pt idx="11">
                  <c:v>1993</c:v>
                </c:pt>
                <c:pt idx="12">
                  <c:v>1994</c:v>
                </c:pt>
                <c:pt idx="13">
                  <c:v>1995</c:v>
                </c:pt>
                <c:pt idx="14">
                  <c:v>1996</c:v>
                </c:pt>
                <c:pt idx="15">
                  <c:v>1997</c:v>
                </c:pt>
                <c:pt idx="16">
                  <c:v>1998</c:v>
                </c:pt>
                <c:pt idx="17">
                  <c:v>1999</c:v>
                </c:pt>
                <c:pt idx="18">
                  <c:v>2000</c:v>
                </c:pt>
                <c:pt idx="19">
                  <c:v>2001</c:v>
                </c:pt>
                <c:pt idx="20">
                  <c:v>2002</c:v>
                </c:pt>
                <c:pt idx="21">
                  <c:v>2003</c:v>
                </c:pt>
                <c:pt idx="22">
                  <c:v>2004</c:v>
                </c:pt>
                <c:pt idx="23">
                  <c:v>2005</c:v>
                </c:pt>
                <c:pt idx="24">
                  <c:v>2006</c:v>
                </c:pt>
                <c:pt idx="25">
                  <c:v>2007</c:v>
                </c:pt>
                <c:pt idx="26">
                  <c:v>2008</c:v>
                </c:pt>
                <c:pt idx="27">
                  <c:v>2009</c:v>
                </c:pt>
                <c:pt idx="28">
                  <c:v>2010</c:v>
                </c:pt>
                <c:pt idx="29">
                  <c:v>2011</c:v>
                </c:pt>
                <c:pt idx="30">
                  <c:v>2012</c:v>
                </c:pt>
                <c:pt idx="31">
                  <c:v>2013</c:v>
                </c:pt>
                <c:pt idx="32">
                  <c:v>2014</c:v>
                </c:pt>
                <c:pt idx="33">
                  <c:v>2015</c:v>
                </c:pt>
                <c:pt idx="34">
                  <c:v>2016</c:v>
                </c:pt>
                <c:pt idx="35">
                  <c:v>2017</c:v>
                </c:pt>
              </c:numCache>
            </c:numRef>
          </c:cat>
          <c:val>
            <c:numRef>
              <c:f>'Fig13'!$L$5:$L$40</c:f>
              <c:numCache>
                <c:formatCode>0%</c:formatCode>
                <c:ptCount val="36"/>
                <c:pt idx="0">
                  <c:v>0.34185606060606066</c:v>
                </c:pt>
                <c:pt idx="1">
                  <c:v>0.35678889990089196</c:v>
                </c:pt>
                <c:pt idx="2">
                  <c:v>0.38108231014097316</c:v>
                </c:pt>
                <c:pt idx="3">
                  <c:v>0.40666975451597959</c:v>
                </c:pt>
                <c:pt idx="4">
                  <c:v>0.37169726824899235</c:v>
                </c:pt>
                <c:pt idx="5">
                  <c:v>0.34172661870503601</c:v>
                </c:pt>
                <c:pt idx="6">
                  <c:v>0.33041848844472205</c:v>
                </c:pt>
                <c:pt idx="7">
                  <c:v>0.34370658516254521</c:v>
                </c:pt>
                <c:pt idx="8">
                  <c:v>0.32989158492514198</c:v>
                </c:pt>
                <c:pt idx="9">
                  <c:v>0.33639217580294617</c:v>
                </c:pt>
                <c:pt idx="10">
                  <c:v>0.35213830755232028</c:v>
                </c:pt>
                <c:pt idx="11">
                  <c:v>0.35259356533158243</c:v>
                </c:pt>
                <c:pt idx="12">
                  <c:v>0.37661562934977133</c:v>
                </c:pt>
                <c:pt idx="13">
                  <c:v>0.36491655076495128</c:v>
                </c:pt>
                <c:pt idx="14">
                  <c:v>0.36366606763600717</c:v>
                </c:pt>
                <c:pt idx="15">
                  <c:v>0.36792452830188682</c:v>
                </c:pt>
                <c:pt idx="16">
                  <c:v>0.34889618138424822</c:v>
                </c:pt>
                <c:pt idx="17">
                  <c:v>0.32755905511811023</c:v>
                </c:pt>
                <c:pt idx="18">
                  <c:v>0.31711045993120146</c:v>
                </c:pt>
                <c:pt idx="19">
                  <c:v>0.32284971967728704</c:v>
                </c:pt>
                <c:pt idx="20">
                  <c:v>0.31461318051575932</c:v>
                </c:pt>
                <c:pt idx="21">
                  <c:v>0.31749726177437021</c:v>
                </c:pt>
                <c:pt idx="22">
                  <c:v>0.30439533754249631</c:v>
                </c:pt>
                <c:pt idx="23">
                  <c:v>0.3</c:v>
                </c:pt>
                <c:pt idx="24">
                  <c:v>0.28148717456047651</c:v>
                </c:pt>
                <c:pt idx="25">
                  <c:v>0.28149673875729486</c:v>
                </c:pt>
                <c:pt idx="26">
                  <c:v>0.26551039119804404</c:v>
                </c:pt>
                <c:pt idx="27">
                  <c:v>0.30066336541156685</c:v>
                </c:pt>
                <c:pt idx="28">
                  <c:v>0.27807486631016043</c:v>
                </c:pt>
                <c:pt idx="29">
                  <c:v>0.27133231036093131</c:v>
                </c:pt>
                <c:pt idx="30">
                  <c:v>0.28849353641366954</c:v>
                </c:pt>
                <c:pt idx="31">
                  <c:v>0.29710736023090922</c:v>
                </c:pt>
                <c:pt idx="32">
                  <c:v>0.31199559794570803</c:v>
                </c:pt>
                <c:pt idx="33">
                  <c:v>0.31924043932777557</c:v>
                </c:pt>
                <c:pt idx="34">
                  <c:v>0.33383665065202467</c:v>
                </c:pt>
                <c:pt idx="35">
                  <c:v>0.33380535530381056</c:v>
                </c:pt>
              </c:numCache>
            </c:numRef>
          </c:val>
          <c:smooth val="0"/>
          <c:extLst>
            <c:ext xmlns:c16="http://schemas.microsoft.com/office/drawing/2014/chart" uri="{C3380CC4-5D6E-409C-BE32-E72D297353CC}">
              <c16:uniqueId val="{00000000-04B5-46D1-BD1D-153D741A6EEF}"/>
            </c:ext>
          </c:extLst>
        </c:ser>
        <c:ser>
          <c:idx val="1"/>
          <c:order val="1"/>
          <c:tx>
            <c:strRef>
              <c:f>'Fig13'!$M$4</c:f>
              <c:strCache>
                <c:ptCount val="1"/>
                <c:pt idx="0">
                  <c:v>U.S. Imports</c:v>
                </c:pt>
              </c:strCache>
            </c:strRef>
          </c:tx>
          <c:spPr>
            <a:ln w="28575" cap="rnd">
              <a:solidFill>
                <a:schemeClr val="tx1"/>
              </a:solidFill>
              <a:prstDash val="dash"/>
              <a:round/>
            </a:ln>
            <a:effectLst/>
          </c:spPr>
          <c:marker>
            <c:symbol val="none"/>
          </c:marker>
          <c:cat>
            <c:numRef>
              <c:f>'Fig13'!$K$5:$K$40</c:f>
              <c:numCache>
                <c:formatCode>General</c:formatCode>
                <c:ptCount val="36"/>
                <c:pt idx="0">
                  <c:v>1982</c:v>
                </c:pt>
                <c:pt idx="1">
                  <c:v>1983</c:v>
                </c:pt>
                <c:pt idx="2">
                  <c:v>1984</c:v>
                </c:pt>
                <c:pt idx="3">
                  <c:v>1985</c:v>
                </c:pt>
                <c:pt idx="4">
                  <c:v>1986</c:v>
                </c:pt>
                <c:pt idx="5">
                  <c:v>1987</c:v>
                </c:pt>
                <c:pt idx="6">
                  <c:v>1988</c:v>
                </c:pt>
                <c:pt idx="7">
                  <c:v>1989</c:v>
                </c:pt>
                <c:pt idx="8">
                  <c:v>1990</c:v>
                </c:pt>
                <c:pt idx="9">
                  <c:v>1991</c:v>
                </c:pt>
                <c:pt idx="10">
                  <c:v>1992</c:v>
                </c:pt>
                <c:pt idx="11">
                  <c:v>1993</c:v>
                </c:pt>
                <c:pt idx="12">
                  <c:v>1994</c:v>
                </c:pt>
                <c:pt idx="13">
                  <c:v>1995</c:v>
                </c:pt>
                <c:pt idx="14">
                  <c:v>1996</c:v>
                </c:pt>
                <c:pt idx="15">
                  <c:v>1997</c:v>
                </c:pt>
                <c:pt idx="16">
                  <c:v>1998</c:v>
                </c:pt>
                <c:pt idx="17">
                  <c:v>1999</c:v>
                </c:pt>
                <c:pt idx="18">
                  <c:v>2000</c:v>
                </c:pt>
                <c:pt idx="19">
                  <c:v>2001</c:v>
                </c:pt>
                <c:pt idx="20">
                  <c:v>2002</c:v>
                </c:pt>
                <c:pt idx="21">
                  <c:v>2003</c:v>
                </c:pt>
                <c:pt idx="22">
                  <c:v>2004</c:v>
                </c:pt>
                <c:pt idx="23">
                  <c:v>2005</c:v>
                </c:pt>
                <c:pt idx="24">
                  <c:v>2006</c:v>
                </c:pt>
                <c:pt idx="25">
                  <c:v>2007</c:v>
                </c:pt>
                <c:pt idx="26">
                  <c:v>2008</c:v>
                </c:pt>
                <c:pt idx="27">
                  <c:v>2009</c:v>
                </c:pt>
                <c:pt idx="28">
                  <c:v>2010</c:v>
                </c:pt>
                <c:pt idx="29">
                  <c:v>2011</c:v>
                </c:pt>
                <c:pt idx="30">
                  <c:v>2012</c:v>
                </c:pt>
                <c:pt idx="31">
                  <c:v>2013</c:v>
                </c:pt>
                <c:pt idx="32">
                  <c:v>2014</c:v>
                </c:pt>
                <c:pt idx="33">
                  <c:v>2015</c:v>
                </c:pt>
                <c:pt idx="34">
                  <c:v>2016</c:v>
                </c:pt>
                <c:pt idx="35">
                  <c:v>2017</c:v>
                </c:pt>
              </c:numCache>
            </c:numRef>
          </c:cat>
          <c:val>
            <c:numRef>
              <c:f>'Fig13'!$M$5:$M$40</c:f>
              <c:numCache>
                <c:formatCode>0%</c:formatCode>
                <c:ptCount val="36"/>
                <c:pt idx="0">
                  <c:v>0.36833602584814218</c:v>
                </c:pt>
                <c:pt idx="1">
                  <c:v>0.36593529193008556</c:v>
                </c:pt>
                <c:pt idx="2">
                  <c:v>0.3706377858002407</c:v>
                </c:pt>
                <c:pt idx="3">
                  <c:v>0.40165631469979296</c:v>
                </c:pt>
                <c:pt idx="4">
                  <c:v>0.40282301845819768</c:v>
                </c:pt>
                <c:pt idx="5">
                  <c:v>0.41142020497803805</c:v>
                </c:pt>
                <c:pt idx="6">
                  <c:v>0.42016994633273708</c:v>
                </c:pt>
                <c:pt idx="7">
                  <c:v>0.42851161817039984</c:v>
                </c:pt>
                <c:pt idx="8">
                  <c:v>0.43699839486356346</c:v>
                </c:pt>
                <c:pt idx="9">
                  <c:v>0.4391038696537678</c:v>
                </c:pt>
                <c:pt idx="10">
                  <c:v>0.43187325256290771</c:v>
                </c:pt>
                <c:pt idx="11">
                  <c:v>0.42059721750933154</c:v>
                </c:pt>
                <c:pt idx="12">
                  <c:v>0.43292956482727679</c:v>
                </c:pt>
                <c:pt idx="13">
                  <c:v>0.41833466773418737</c:v>
                </c:pt>
                <c:pt idx="14">
                  <c:v>0.41688457228240566</c:v>
                </c:pt>
                <c:pt idx="15">
                  <c:v>0.39895072992700731</c:v>
                </c:pt>
                <c:pt idx="16">
                  <c:v>0.39353363814500325</c:v>
                </c:pt>
                <c:pt idx="17">
                  <c:v>0.3832560834298957</c:v>
                </c:pt>
                <c:pt idx="18">
                  <c:v>0.37736461800763171</c:v>
                </c:pt>
                <c:pt idx="19">
                  <c:v>0.38892259686226921</c:v>
                </c:pt>
                <c:pt idx="20">
                  <c:v>0.39180090343475665</c:v>
                </c:pt>
                <c:pt idx="21">
                  <c:v>0.38707648769750808</c:v>
                </c:pt>
                <c:pt idx="22">
                  <c:v>0.37055701135523755</c:v>
                </c:pt>
                <c:pt idx="23">
                  <c:v>0.36266069111923577</c:v>
                </c:pt>
                <c:pt idx="24">
                  <c:v>0.3509210946651049</c:v>
                </c:pt>
                <c:pt idx="25">
                  <c:v>0.35573679705986005</c:v>
                </c:pt>
                <c:pt idx="26">
                  <c:v>0.3469854761126418</c:v>
                </c:pt>
                <c:pt idx="27">
                  <c:v>0.40715189873417718</c:v>
                </c:pt>
                <c:pt idx="28">
                  <c:v>0.36188757091284168</c:v>
                </c:pt>
                <c:pt idx="29">
                  <c:v>0.35010491539800886</c:v>
                </c:pt>
                <c:pt idx="30">
                  <c:v>0.35694751920823026</c:v>
                </c:pt>
                <c:pt idx="31">
                  <c:v>0.3697585214889722</c:v>
                </c:pt>
                <c:pt idx="32">
                  <c:v>0.37564451896876966</c:v>
                </c:pt>
                <c:pt idx="33">
                  <c:v>0.38302833010733772</c:v>
                </c:pt>
                <c:pt idx="34">
                  <c:v>0.38378623188405797</c:v>
                </c:pt>
                <c:pt idx="35">
                  <c:v>0.38506867898931657</c:v>
                </c:pt>
              </c:numCache>
            </c:numRef>
          </c:val>
          <c:smooth val="0"/>
          <c:extLst>
            <c:ext xmlns:c16="http://schemas.microsoft.com/office/drawing/2014/chart" uri="{C3380CC4-5D6E-409C-BE32-E72D297353CC}">
              <c16:uniqueId val="{00000001-04B5-46D1-BD1D-153D741A6EEF}"/>
            </c:ext>
          </c:extLst>
        </c:ser>
        <c:dLbls>
          <c:showLegendKey val="0"/>
          <c:showVal val="0"/>
          <c:showCatName val="0"/>
          <c:showSerName val="0"/>
          <c:showPercent val="0"/>
          <c:showBubbleSize val="0"/>
        </c:dLbls>
        <c:smooth val="0"/>
        <c:axId val="183386496"/>
        <c:axId val="183388032"/>
      </c:lineChart>
      <c:catAx>
        <c:axId val="183386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crossAx val="183388032"/>
        <c:crosses val="autoZero"/>
        <c:auto val="1"/>
        <c:lblAlgn val="ctr"/>
        <c:lblOffset val="100"/>
        <c:tickLblSkip val="5"/>
        <c:noMultiLvlLbl val="0"/>
      </c:catAx>
      <c:valAx>
        <c:axId val="18338803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crossAx val="183386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'Fig14'!$F$14</c:f>
              <c:strCache>
                <c:ptCount val="1"/>
                <c:pt idx="0">
                  <c:v>U.S. Direct Investment Abroad Equity Income Share of U.S. Worldwide Corporate Profits</c:v>
                </c:pt>
              </c:strCache>
            </c:strRef>
          </c:tx>
          <c:spPr>
            <a:ln w="28575" cap="rnd">
              <a:solidFill>
                <a:schemeClr val="tx1"/>
              </a:solidFill>
              <a:round/>
            </a:ln>
            <a:effectLst/>
          </c:spPr>
          <c:marker>
            <c:symbol val="none"/>
          </c:marker>
          <c:cat>
            <c:numRef>
              <c:f>'Fig14'!$E$15:$E$50</c:f>
              <c:numCache>
                <c:formatCode>General</c:formatCode>
                <c:ptCount val="36"/>
                <c:pt idx="0">
                  <c:v>1982</c:v>
                </c:pt>
                <c:pt idx="1">
                  <c:v>1983</c:v>
                </c:pt>
                <c:pt idx="2">
                  <c:v>1984</c:v>
                </c:pt>
                <c:pt idx="3">
                  <c:v>1985</c:v>
                </c:pt>
                <c:pt idx="4">
                  <c:v>1986</c:v>
                </c:pt>
                <c:pt idx="5">
                  <c:v>1987</c:v>
                </c:pt>
                <c:pt idx="6">
                  <c:v>1988</c:v>
                </c:pt>
                <c:pt idx="7">
                  <c:v>1989</c:v>
                </c:pt>
                <c:pt idx="8">
                  <c:v>1990</c:v>
                </c:pt>
                <c:pt idx="9">
                  <c:v>1991</c:v>
                </c:pt>
                <c:pt idx="10">
                  <c:v>1992</c:v>
                </c:pt>
                <c:pt idx="11">
                  <c:v>1993</c:v>
                </c:pt>
                <c:pt idx="12">
                  <c:v>1994</c:v>
                </c:pt>
                <c:pt idx="13">
                  <c:v>1995</c:v>
                </c:pt>
                <c:pt idx="14">
                  <c:v>1996</c:v>
                </c:pt>
                <c:pt idx="15">
                  <c:v>1997</c:v>
                </c:pt>
                <c:pt idx="16">
                  <c:v>1998</c:v>
                </c:pt>
                <c:pt idx="17">
                  <c:v>1999</c:v>
                </c:pt>
                <c:pt idx="18">
                  <c:v>2000</c:v>
                </c:pt>
                <c:pt idx="19">
                  <c:v>2001</c:v>
                </c:pt>
                <c:pt idx="20">
                  <c:v>2002</c:v>
                </c:pt>
                <c:pt idx="21">
                  <c:v>2003</c:v>
                </c:pt>
                <c:pt idx="22">
                  <c:v>2004</c:v>
                </c:pt>
                <c:pt idx="23">
                  <c:v>2005</c:v>
                </c:pt>
                <c:pt idx="24">
                  <c:v>2006</c:v>
                </c:pt>
                <c:pt idx="25">
                  <c:v>2007</c:v>
                </c:pt>
                <c:pt idx="26">
                  <c:v>2008</c:v>
                </c:pt>
                <c:pt idx="27">
                  <c:v>2009</c:v>
                </c:pt>
                <c:pt idx="28">
                  <c:v>2010</c:v>
                </c:pt>
                <c:pt idx="29">
                  <c:v>2011</c:v>
                </c:pt>
                <c:pt idx="30">
                  <c:v>2012</c:v>
                </c:pt>
                <c:pt idx="31">
                  <c:v>2013</c:v>
                </c:pt>
                <c:pt idx="32">
                  <c:v>2014</c:v>
                </c:pt>
                <c:pt idx="33">
                  <c:v>2015</c:v>
                </c:pt>
                <c:pt idx="34">
                  <c:v>2016</c:v>
                </c:pt>
                <c:pt idx="35">
                  <c:v>2017</c:v>
                </c:pt>
              </c:numCache>
            </c:numRef>
          </c:cat>
          <c:val>
            <c:numRef>
              <c:f>'Fig14'!$F$15:$F$50</c:f>
              <c:numCache>
                <c:formatCode>0%</c:formatCode>
                <c:ptCount val="36"/>
                <c:pt idx="0">
                  <c:v>0.13614615050021747</c:v>
                </c:pt>
                <c:pt idx="1">
                  <c:v>0.1261615439599714</c:v>
                </c:pt>
                <c:pt idx="2">
                  <c:v>0.11837821840781297</c:v>
                </c:pt>
                <c:pt idx="3">
                  <c:v>0.11137940761636107</c:v>
                </c:pt>
                <c:pt idx="4">
                  <c:v>0.12360974106041923</c:v>
                </c:pt>
                <c:pt idx="5">
                  <c:v>0.13277868852459015</c:v>
                </c:pt>
                <c:pt idx="6">
                  <c:v>0.14413992762364294</c:v>
                </c:pt>
                <c:pt idx="7">
                  <c:v>0.14915761525464638</c:v>
                </c:pt>
                <c:pt idx="8">
                  <c:v>0.15367488628202058</c:v>
                </c:pt>
                <c:pt idx="9">
                  <c:v>0.12696420680512593</c:v>
                </c:pt>
                <c:pt idx="10">
                  <c:v>0.1180951383067896</c:v>
                </c:pt>
                <c:pt idx="11">
                  <c:v>0.12498093785741517</c:v>
                </c:pt>
                <c:pt idx="12">
                  <c:v>0.12009763124199746</c:v>
                </c:pt>
                <c:pt idx="13">
                  <c:v>0.13140753327669213</c:v>
                </c:pt>
                <c:pt idx="14">
                  <c:v>0.12706016466117795</c:v>
                </c:pt>
                <c:pt idx="15">
                  <c:v>0.13016902380131079</c:v>
                </c:pt>
                <c:pt idx="16">
                  <c:v>0.12480519480519481</c:v>
                </c:pt>
                <c:pt idx="17">
                  <c:v>0.15090429991615761</c:v>
                </c:pt>
                <c:pt idx="18">
                  <c:v>0.18412662090007628</c:v>
                </c:pt>
                <c:pt idx="19">
                  <c:v>0.16114142612363253</c:v>
                </c:pt>
                <c:pt idx="20">
                  <c:v>0.15279148842821105</c:v>
                </c:pt>
                <c:pt idx="21">
                  <c:v>0.16870775347912526</c:v>
                </c:pt>
                <c:pt idx="22">
                  <c:v>0.18640657721244086</c:v>
                </c:pt>
                <c:pt idx="23">
                  <c:v>0.18746607550718797</c:v>
                </c:pt>
                <c:pt idx="24">
                  <c:v>0.18633784850877724</c:v>
                </c:pt>
                <c:pt idx="25">
                  <c:v>0.23109248630315676</c:v>
                </c:pt>
                <c:pt idx="26">
                  <c:v>0.30906906206252921</c:v>
                </c:pt>
                <c:pt idx="27">
                  <c:v>0.25587972310354773</c:v>
                </c:pt>
                <c:pt idx="28">
                  <c:v>0.24895007809336495</c:v>
                </c:pt>
                <c:pt idx="29">
                  <c:v>0.25402751685269087</c:v>
                </c:pt>
                <c:pt idx="30">
                  <c:v>0.22472664463802944</c:v>
                </c:pt>
                <c:pt idx="31">
                  <c:v>0.22835032575719899</c:v>
                </c:pt>
                <c:pt idx="32">
                  <c:v>0.2182763828582216</c:v>
                </c:pt>
                <c:pt idx="33">
                  <c:v>0.21333252321003254</c:v>
                </c:pt>
                <c:pt idx="34">
                  <c:v>0.21236363636363637</c:v>
                </c:pt>
                <c:pt idx="35">
                  <c:v>0.22755537560139091</c:v>
                </c:pt>
              </c:numCache>
            </c:numRef>
          </c:val>
          <c:smooth val="0"/>
          <c:extLst>
            <c:ext xmlns:c16="http://schemas.microsoft.com/office/drawing/2014/chart" uri="{C3380CC4-5D6E-409C-BE32-E72D297353CC}">
              <c16:uniqueId val="{00000000-B219-4793-B0DB-5895A9A2A213}"/>
            </c:ext>
          </c:extLst>
        </c:ser>
        <c:dLbls>
          <c:showLegendKey val="0"/>
          <c:showVal val="0"/>
          <c:showCatName val="0"/>
          <c:showSerName val="0"/>
          <c:showPercent val="0"/>
          <c:showBubbleSize val="0"/>
        </c:dLbls>
        <c:smooth val="0"/>
        <c:axId val="183400320"/>
        <c:axId val="183401856"/>
      </c:lineChart>
      <c:catAx>
        <c:axId val="183400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crossAx val="183401856"/>
        <c:crosses val="autoZero"/>
        <c:auto val="1"/>
        <c:lblAlgn val="ctr"/>
        <c:lblOffset val="100"/>
        <c:tickLblSkip val="5"/>
        <c:noMultiLvlLbl val="0"/>
      </c:catAx>
      <c:valAx>
        <c:axId val="18340185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crossAx val="1834003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'Figure 1'!$B$1</c:f>
              <c:strCache>
                <c:ptCount val="1"/>
                <c:pt idx="0">
                  <c:v>% in Havens</c:v>
                </c:pt>
              </c:strCache>
            </c:strRef>
          </c:tx>
          <c:spPr>
            <a:solidFill>
              <a:schemeClr val="accent1"/>
            </a:solidFill>
            <a:ln>
              <a:noFill/>
            </a:ln>
            <a:effectLst/>
          </c:spPr>
          <c:invertIfNegative val="0"/>
          <c:cat>
            <c:strRef>
              <c:f>'Figure 1'!$A$2:$A$11</c:f>
              <c:strCache>
                <c:ptCount val="10"/>
                <c:pt idx="0">
                  <c:v>Number of Affiliates</c:v>
                </c:pt>
                <c:pt idx="1">
                  <c:v>Total Assets </c:v>
                </c:pt>
                <c:pt idx="2">
                  <c:v>Net PPE</c:v>
                </c:pt>
                <c:pt idx="3">
                  <c:v>Capital Expenditures</c:v>
                </c:pt>
                <c:pt idx="4">
                  <c:v>Sales</c:v>
                </c:pt>
                <c:pt idx="5">
                  <c:v>Net Income</c:v>
                </c:pt>
                <c:pt idx="6">
                  <c:v>Value Added</c:v>
                </c:pt>
                <c:pt idx="7">
                  <c:v>R&amp;D</c:v>
                </c:pt>
                <c:pt idx="8">
                  <c:v>Employee Compensation</c:v>
                </c:pt>
                <c:pt idx="9">
                  <c:v>Number of Employeees</c:v>
                </c:pt>
              </c:strCache>
            </c:strRef>
          </c:cat>
          <c:val>
            <c:numRef>
              <c:f>'Figure 1'!$B$2:$B$11</c:f>
              <c:numCache>
                <c:formatCode>General</c:formatCode>
                <c:ptCount val="10"/>
                <c:pt idx="0">
                  <c:v>21.33</c:v>
                </c:pt>
                <c:pt idx="1">
                  <c:v>34.24</c:v>
                </c:pt>
                <c:pt idx="2">
                  <c:v>13.51</c:v>
                </c:pt>
                <c:pt idx="3">
                  <c:v>14.17</c:v>
                </c:pt>
                <c:pt idx="4">
                  <c:v>24.56</c:v>
                </c:pt>
                <c:pt idx="5">
                  <c:v>49.56</c:v>
                </c:pt>
                <c:pt idx="6">
                  <c:v>17.77</c:v>
                </c:pt>
                <c:pt idx="7">
                  <c:v>13.89</c:v>
                </c:pt>
                <c:pt idx="8">
                  <c:v>9.1300000000000008</c:v>
                </c:pt>
                <c:pt idx="9">
                  <c:v>4.99</c:v>
                </c:pt>
              </c:numCache>
            </c:numRef>
          </c:val>
          <c:extLst>
            <c:ext xmlns:c16="http://schemas.microsoft.com/office/drawing/2014/chart" uri="{C3380CC4-5D6E-409C-BE32-E72D297353CC}">
              <c16:uniqueId val="{00000000-70A9-4449-A878-637642D9910D}"/>
            </c:ext>
          </c:extLst>
        </c:ser>
        <c:dLbls>
          <c:showLegendKey val="0"/>
          <c:showVal val="0"/>
          <c:showCatName val="0"/>
          <c:showSerName val="0"/>
          <c:showPercent val="0"/>
          <c:showBubbleSize val="0"/>
        </c:dLbls>
        <c:gapWidth val="182"/>
        <c:axId val="183523584"/>
        <c:axId val="183533568"/>
      </c:barChart>
      <c:catAx>
        <c:axId val="1835235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83533568"/>
        <c:crosses val="autoZero"/>
        <c:auto val="1"/>
        <c:lblAlgn val="ctr"/>
        <c:lblOffset val="100"/>
        <c:noMultiLvlLbl val="0"/>
      </c:catAx>
      <c:valAx>
        <c:axId val="1835335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523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SharedWithUsers xmlns="66951ee6-cd93-49c7-9437-e871b2a117d6">
      <UserInfo>
        <DisplayName>David Wessel</DisplayName>
        <AccountId>59</AccountId>
        <AccountType/>
      </UserInfo>
      <UserInfo>
        <DisplayName>Stephanie Cencula</DisplayName>
        <AccountId>24</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9F9B0-4B3F-884F-A32A-056E063E6A98}">
  <ds:schemaRefs>
    <ds:schemaRef ds:uri="http://schemas.microsoft.com/sharepoint/v3/contenttype/forms"/>
  </ds:schemaRefs>
</ds:datastoreItem>
</file>

<file path=customXml/itemProps2.xml><?xml version="1.0" encoding="utf-8"?>
<ds:datastoreItem xmlns:ds="http://schemas.openxmlformats.org/officeDocument/2006/customXml" ds:itemID="{61AC412C-94E1-4FCE-B8C2-FB401199156E}">
  <ds:schemaRefs>
    <ds:schemaRef ds:uri="http://schemas.microsoft.com/office/2006/metadata/longProperties"/>
  </ds:schemaRefs>
</ds:datastoreItem>
</file>

<file path=customXml/itemProps3.xml><?xml version="1.0" encoding="utf-8"?>
<ds:datastoreItem xmlns:ds="http://schemas.openxmlformats.org/officeDocument/2006/customXml" ds:itemID="{0C9BE324-1F9A-4970-8E90-F6F1A0008521}">
  <ds:schemaRefs>
    <ds:schemaRef ds:uri="http://www.w3.org/XML/1998/namespace"/>
    <ds:schemaRef ds:uri="http://schemas.microsoft.com/office/2006/documentManagement/types"/>
    <ds:schemaRef ds:uri="http://purl.org/dc/terms/"/>
    <ds:schemaRef ds:uri="http://purl.org/dc/elements/1.1/"/>
    <ds:schemaRef ds:uri="66951ee6-cd93-49c7-9437-e871b2a117d6"/>
    <ds:schemaRef ds:uri="http://schemas.microsoft.com/office/infopath/2007/PartnerControls"/>
    <ds:schemaRef ds:uri="http://purl.org/dc/dcmitype/"/>
    <ds:schemaRef ds:uri="http://schemas.microsoft.com/office/2006/metadata/properties"/>
    <ds:schemaRef ds:uri="http://schemas.openxmlformats.org/package/2006/metadata/core-properties"/>
    <ds:schemaRef ds:uri="cac5d118-ba7b-4807-b700-df6f95cfff50"/>
  </ds:schemaRefs>
</ds:datastoreItem>
</file>

<file path=customXml/itemProps4.xml><?xml version="1.0" encoding="utf-8"?>
<ds:datastoreItem xmlns:ds="http://schemas.openxmlformats.org/officeDocument/2006/customXml" ds:itemID="{A82EE8BE-DAA2-4BD6-9BE1-277CB578EA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c5d118-ba7b-4807-b700-df6f95cfff50"/>
    <ds:schemaRef ds:uri="66951ee6-cd93-49c7-9437-e871b2a117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4745F58-DFD0-4828-91AF-2FA2653D7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3948</Words>
  <Characters>22508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26404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 Hines Jr.</dc:creator>
  <cp:keywords/>
  <cp:lastModifiedBy>Stephanie Cencula</cp:lastModifiedBy>
  <cp:revision>2</cp:revision>
  <cp:lastPrinted>2020-05-13T20:48:00Z</cp:lastPrinted>
  <dcterms:created xsi:type="dcterms:W3CDTF">2021-01-25T19:20:00Z</dcterms:created>
  <dcterms:modified xsi:type="dcterms:W3CDTF">2021-01-25T19:20:00Z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SharedWithUsers">
    <vt:lpwstr>David Wessel</vt:lpwstr>
  </property>
  <property fmtid="{D5CDD505-2E9C-101B-9397-08002B2CF9AE}" pid="3" name="SharedWithUsers">
    <vt:lpwstr>59;#David Wessel</vt:lpwstr>
  </property>
  <property fmtid="{D5CDD505-2E9C-101B-9397-08002B2CF9AE}" pid="4" name="ContentTypeId">
    <vt:lpwstr>0x010100FA9F3DB0CD4D844B918872BCED9B9CF9</vt:lpwstr>
  </property>
</Properties>
</file>