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5511" w14:textId="0D82C633" w:rsidR="00205CF4" w:rsidRPr="00012DA5" w:rsidRDefault="00AC0056" w:rsidP="00AC0056">
      <w:pPr>
        <w:jc w:val="center"/>
        <w:rPr>
          <w:sz w:val="56"/>
          <w:szCs w:val="56"/>
        </w:rPr>
      </w:pPr>
      <w:r w:rsidRPr="00012DA5">
        <w:rPr>
          <w:sz w:val="56"/>
          <w:szCs w:val="56"/>
        </w:rPr>
        <w:t>The Travel Shock</w:t>
      </w:r>
    </w:p>
    <w:p w14:paraId="6CFA3BE3" w14:textId="56D86E7F" w:rsidR="00AC0056" w:rsidRDefault="00AC0056" w:rsidP="00AC0056">
      <w:pPr>
        <w:jc w:val="center"/>
      </w:pPr>
    </w:p>
    <w:p w14:paraId="4813E1DE" w14:textId="47547E04" w:rsidR="00AC0056" w:rsidRPr="00012DA5" w:rsidRDefault="00AC0056" w:rsidP="00AC0056">
      <w:pPr>
        <w:jc w:val="center"/>
        <w:rPr>
          <w:sz w:val="36"/>
          <w:szCs w:val="36"/>
        </w:rPr>
      </w:pPr>
      <w:r w:rsidRPr="00012DA5">
        <w:rPr>
          <w:sz w:val="36"/>
          <w:szCs w:val="36"/>
        </w:rPr>
        <w:t>Gian Maria Milesi Ferretti</w:t>
      </w:r>
    </w:p>
    <w:p w14:paraId="0F7336F9" w14:textId="135F6B21" w:rsidR="00AC0056" w:rsidRPr="00012DA5" w:rsidRDefault="00AC0056" w:rsidP="00AC0056">
      <w:pPr>
        <w:jc w:val="center"/>
        <w:rPr>
          <w:sz w:val="28"/>
          <w:szCs w:val="28"/>
        </w:rPr>
      </w:pPr>
      <w:r w:rsidRPr="00012DA5">
        <w:rPr>
          <w:sz w:val="28"/>
          <w:szCs w:val="28"/>
        </w:rPr>
        <w:t>Hutchins Center</w:t>
      </w:r>
    </w:p>
    <w:p w14:paraId="4E9D910D" w14:textId="4AFC303D" w:rsidR="00AC0056" w:rsidRPr="00012DA5" w:rsidRDefault="00AC0056" w:rsidP="00AC0056">
      <w:pPr>
        <w:jc w:val="center"/>
        <w:rPr>
          <w:sz w:val="28"/>
          <w:szCs w:val="28"/>
        </w:rPr>
      </w:pPr>
      <w:r w:rsidRPr="00012DA5">
        <w:rPr>
          <w:sz w:val="28"/>
          <w:szCs w:val="28"/>
        </w:rPr>
        <w:t>The Brookings Institution</w:t>
      </w:r>
    </w:p>
    <w:p w14:paraId="47D37EEF" w14:textId="17B98173" w:rsidR="00AC0056" w:rsidRDefault="00AC0056" w:rsidP="00AC0056">
      <w:pPr>
        <w:jc w:val="center"/>
      </w:pPr>
    </w:p>
    <w:p w14:paraId="42A7DE76" w14:textId="5581BFF0" w:rsidR="00AC0056" w:rsidRDefault="00AC0056" w:rsidP="00AC0056">
      <w:pPr>
        <w:jc w:val="center"/>
      </w:pPr>
      <w:r>
        <w:t>Abstract</w:t>
      </w:r>
    </w:p>
    <w:p w14:paraId="6DAD4110" w14:textId="1C19B1A2" w:rsidR="004E2D19" w:rsidRDefault="0005663F" w:rsidP="00AC0056">
      <w:r>
        <w:t>T</w:t>
      </w:r>
      <w:r w:rsidR="00AC0056">
        <w:t xml:space="preserve">he COVID pandemic has </w:t>
      </w:r>
      <w:r>
        <w:t>led to</w:t>
      </w:r>
      <w:r w:rsidR="00AC0056">
        <w:t xml:space="preserve"> a collapse in </w:t>
      </w:r>
      <w:r w:rsidR="004E2D19">
        <w:t xml:space="preserve">international </w:t>
      </w:r>
      <w:r w:rsidR="00AC0056">
        <w:t xml:space="preserve">travel and tourism. This </w:t>
      </w:r>
      <w:r w:rsidR="00CA147F">
        <w:t>paper</w:t>
      </w:r>
      <w:r w:rsidR="00AC0056">
        <w:t xml:space="preserve"> </w:t>
      </w:r>
      <w:r w:rsidR="004E2D19">
        <w:t xml:space="preserve">explores how </w:t>
      </w:r>
      <w:r w:rsidR="00AC0056">
        <w:t xml:space="preserve">the </w:t>
      </w:r>
      <w:r w:rsidR="004E2D19">
        <w:t xml:space="preserve">cross-country </w:t>
      </w:r>
      <w:r w:rsidR="00AC0056">
        <w:t>i</w:t>
      </w:r>
      <w:r w:rsidR="00D470E8">
        <w:t>mpact</w:t>
      </w:r>
      <w:r w:rsidR="00AC0056">
        <w:t xml:space="preserve"> of the COVID</w:t>
      </w:r>
      <w:r w:rsidR="00AA0ACD">
        <w:t xml:space="preserve">-19 pandemic </w:t>
      </w:r>
      <w:r w:rsidR="004E2D19">
        <w:t xml:space="preserve">relates to </w:t>
      </w:r>
      <w:r w:rsidR="00AC0056">
        <w:t xml:space="preserve">countries’ dependence on </w:t>
      </w:r>
      <w:r w:rsidR="004E2D19">
        <w:t>these activities as a source of revenue. Specifically, i</w:t>
      </w:r>
      <w:r w:rsidR="00AC0056">
        <w:t xml:space="preserve">t first documents the size of the shock to revenues from international travel and tourism for the balance of payments, and then turns to the growth implications. Empirical evidence suggests that </w:t>
      </w:r>
      <w:r w:rsidR="000459FA">
        <w:t xml:space="preserve">current account adjustment in 2020 was driven </w:t>
      </w:r>
      <w:r w:rsidR="00536A8C">
        <w:t xml:space="preserve">to </w:t>
      </w:r>
      <w:r w:rsidR="000459FA">
        <w:t xml:space="preserve">an important extent </w:t>
      </w:r>
      <w:r w:rsidR="00D86EAE">
        <w:t xml:space="preserve">by the </w:t>
      </w:r>
      <w:r w:rsidR="006170E5">
        <w:t xml:space="preserve">collapse in revenues and expenditures on international travel </w:t>
      </w:r>
      <w:r w:rsidR="00536A8C">
        <w:t xml:space="preserve">as well as by the collapse in oil prices. On the economic growth front, </w:t>
      </w:r>
      <w:r w:rsidR="00AC0056">
        <w:t xml:space="preserve">a country’s dependence on tourism </w:t>
      </w:r>
      <w:r w:rsidR="004E2D19">
        <w:t xml:space="preserve">is a main determinant of the intensity of the shock to economic activity induced by the COVID pandemic, explaining a larger share of the cross-country impact of the crisis than measures of pandemic intensity.  </w:t>
      </w:r>
    </w:p>
    <w:p w14:paraId="539F9E2E" w14:textId="77777777" w:rsidR="00BD7D05" w:rsidRDefault="00BD7D05"/>
    <w:p w14:paraId="413BC9BD" w14:textId="77777777" w:rsidR="00BD7D05" w:rsidRDefault="00BD7D05"/>
    <w:p w14:paraId="69F835E4" w14:textId="77777777" w:rsidR="00BD7D05" w:rsidRDefault="00BD7D05"/>
    <w:p w14:paraId="77959798" w14:textId="77777777" w:rsidR="00BD7D05" w:rsidRDefault="00BD7D05"/>
    <w:p w14:paraId="4535D3BD" w14:textId="77777777" w:rsidR="00BD7D05" w:rsidRDefault="00BD7D05"/>
    <w:p w14:paraId="1789BCF5" w14:textId="77777777" w:rsidR="00BD7D05" w:rsidRDefault="00BD7D05"/>
    <w:p w14:paraId="43A21D1E" w14:textId="77777777" w:rsidR="00BD7D05" w:rsidRDefault="00BD7D05"/>
    <w:p w14:paraId="7268681C" w14:textId="77777777" w:rsidR="00BD7D05" w:rsidRDefault="00BD7D05"/>
    <w:p w14:paraId="7EC463D4" w14:textId="77777777" w:rsidR="00BD7D05" w:rsidRDefault="00BD7D05"/>
    <w:p w14:paraId="0055B3E3" w14:textId="77777777" w:rsidR="00BD7D05" w:rsidRDefault="00BD7D05"/>
    <w:p w14:paraId="002890B4" w14:textId="77777777" w:rsidR="00BD7D05" w:rsidRDefault="00BD7D05"/>
    <w:p w14:paraId="67FD0583" w14:textId="5E3A615B" w:rsidR="004E2D19" w:rsidRDefault="00BF38E1">
      <w:r>
        <w:t>* I am gre</w:t>
      </w:r>
      <w:r w:rsidR="0071559F">
        <w:t>a</w:t>
      </w:r>
      <w:r>
        <w:t>tly indebted to Jimena Ruiz Castro and Manu</w:t>
      </w:r>
      <w:r w:rsidR="0071559F">
        <w:t>el Alcala</w:t>
      </w:r>
      <w:r>
        <w:t xml:space="preserve"> Kovalski </w:t>
      </w:r>
      <w:r w:rsidR="0071559F">
        <w:t>for excellent research assistance</w:t>
      </w:r>
      <w:r w:rsidR="00003195">
        <w:t>, and to the World Economic Outlook team at the International Monetary Fund for their help with the data</w:t>
      </w:r>
      <w:r w:rsidR="0071559F">
        <w:t xml:space="preserve">. </w:t>
      </w:r>
      <w:r w:rsidR="004E2D19">
        <w:br w:type="page"/>
      </w:r>
    </w:p>
    <w:p w14:paraId="2AC0B419" w14:textId="77777777" w:rsidR="004E2D19" w:rsidRDefault="004E2D19" w:rsidP="004E2D19">
      <w:pPr>
        <w:pStyle w:val="Heading1"/>
        <w:jc w:val="center"/>
      </w:pPr>
      <w:r>
        <w:lastRenderedPageBreak/>
        <w:t>Introduction</w:t>
      </w:r>
    </w:p>
    <w:p w14:paraId="2FD1C29A" w14:textId="77777777" w:rsidR="004E2D19" w:rsidRDefault="004E2D19" w:rsidP="004E2D19"/>
    <w:p w14:paraId="23A889A0" w14:textId="6899541F" w:rsidR="00532D7A" w:rsidRDefault="007E5156" w:rsidP="004E2D19">
      <w:r>
        <w:t>The</w:t>
      </w:r>
      <w:r w:rsidR="004E2D19">
        <w:t xml:space="preserve"> COVID crisis has </w:t>
      </w:r>
      <w:r>
        <w:t xml:space="preserve">led to </w:t>
      </w:r>
      <w:r w:rsidR="004E2D19">
        <w:t xml:space="preserve">a collapse in international travel, as countries imposed limits on international travel and individuals adopted social distancing measures. </w:t>
      </w:r>
      <w:r w:rsidR="00BE6214">
        <w:t>According to the World Tourism Organization</w:t>
      </w:r>
      <w:r w:rsidR="009263F1">
        <w:t xml:space="preserve"> (UNWTO, 2021a) </w:t>
      </w:r>
      <w:r w:rsidR="00BD791B">
        <w:t xml:space="preserve">international tourist arrivals declined globally by </w:t>
      </w:r>
      <w:r w:rsidR="00557F57">
        <w:t>[7</w:t>
      </w:r>
      <w:r w:rsidR="00FF124D">
        <w:t>3</w:t>
      </w:r>
      <w:r w:rsidR="00557F57">
        <w:t>] percent</w:t>
      </w:r>
      <w:r w:rsidR="00937931">
        <w:t xml:space="preserve"> in 2020</w:t>
      </w:r>
      <w:r w:rsidR="00557F57">
        <w:t xml:space="preserve">, </w:t>
      </w:r>
      <w:r w:rsidR="00937931">
        <w:t xml:space="preserve">with 1 billion fewer travelers, </w:t>
      </w:r>
      <w:r w:rsidR="00654B5B">
        <w:t>putting in jeopardy between 100 and 120 million direct tourism jobs</w:t>
      </w:r>
      <w:r w:rsidR="00B128E3">
        <w:t xml:space="preserve">. </w:t>
      </w:r>
      <w:r w:rsidR="006D6687">
        <w:t xml:space="preserve">The same source notes that the decline in tourist arrivals during the global financial crisis of 2009 was around 4 percent. </w:t>
      </w:r>
      <w:r w:rsidR="00FF0BEA">
        <w:t>Furthermore, t</w:t>
      </w:r>
      <w:r w:rsidR="00B128E3">
        <w:t xml:space="preserve">his “travel shock” is </w:t>
      </w:r>
      <w:r w:rsidR="00C10380">
        <w:t>continuing in 2021</w:t>
      </w:r>
      <w:r w:rsidR="00FF0BEA">
        <w:t>, as restrictions to international travel persist</w:t>
      </w:r>
      <w:r w:rsidR="00485D8B">
        <w:t>—tourist arrivals for January-May 2021 are down a further 65 percent from the same period in 2020</w:t>
      </w:r>
      <w:r w:rsidR="00FF0BEA">
        <w:t xml:space="preserve">, </w:t>
      </w:r>
      <w:r w:rsidR="00694B5D">
        <w:t>and there is substantial uncertainty on the nature and timing of a tourism recovery</w:t>
      </w:r>
      <w:r w:rsidR="00C10380">
        <w:t xml:space="preserve">. </w:t>
      </w:r>
    </w:p>
    <w:p w14:paraId="4BE1AFFA" w14:textId="62C8E287" w:rsidR="004E205E" w:rsidRDefault="00413B1F" w:rsidP="004E2D19">
      <w:r>
        <w:t>In t</w:t>
      </w:r>
      <w:r w:rsidR="007C70E6">
        <w:t xml:space="preserve">his paper </w:t>
      </w:r>
      <w:r>
        <w:t xml:space="preserve">we take </w:t>
      </w:r>
      <w:r w:rsidR="007C70E6">
        <w:t>a first look at the</w:t>
      </w:r>
      <w:r w:rsidR="00C10380">
        <w:t xml:space="preserve"> cross-country </w:t>
      </w:r>
      <w:r w:rsidR="007C70E6">
        <w:t xml:space="preserve">impact of the </w:t>
      </w:r>
      <w:r w:rsidR="009B1752">
        <w:t xml:space="preserve">international </w:t>
      </w:r>
      <w:r w:rsidR="007C70E6">
        <w:t>travel shock</w:t>
      </w:r>
      <w:r w:rsidR="008A17BD">
        <w:t xml:space="preserve"> during </w:t>
      </w:r>
      <w:r w:rsidR="005638A7">
        <w:t>2020</w:t>
      </w:r>
      <w:r w:rsidR="001B35ED">
        <w:t xml:space="preserve">. Using </w:t>
      </w:r>
      <w:r w:rsidR="001F2E76">
        <w:t>the largest possible sample of countries</w:t>
      </w:r>
      <w:r w:rsidR="001B35ED">
        <w:t>, w</w:t>
      </w:r>
      <w:r w:rsidR="00532D7A">
        <w:t xml:space="preserve">e show that this impact has been very severe for </w:t>
      </w:r>
      <w:r w:rsidR="00D47B20">
        <w:t>a</w:t>
      </w:r>
      <w:r w:rsidR="003125AF">
        <w:t>ll</w:t>
      </w:r>
      <w:r w:rsidR="00D47B20">
        <w:t xml:space="preserve"> tourism-dependent economies. </w:t>
      </w:r>
      <w:r w:rsidR="008666BC">
        <w:t xml:space="preserve">Indeed, our main result is that on a cross-country basis the share of tourism activities in GDP is the single most important predictor </w:t>
      </w:r>
      <w:r w:rsidR="00E72767">
        <w:t>of the growth shortfall in 2020 triggered by the COVID-19 crisis</w:t>
      </w:r>
      <w:r w:rsidR="00B417BF">
        <w:t xml:space="preserve">, even when </w:t>
      </w:r>
      <w:r w:rsidR="00B97C3F">
        <w:t xml:space="preserve">compared to a variety of measures of the </w:t>
      </w:r>
      <w:r w:rsidR="00B417BF">
        <w:t>severity of the pandemic</w:t>
      </w:r>
      <w:r w:rsidR="00E72767">
        <w:t xml:space="preserve">. </w:t>
      </w:r>
    </w:p>
    <w:p w14:paraId="5A336ABF" w14:textId="1C7F5195" w:rsidR="00F75A73" w:rsidRDefault="0038282C" w:rsidP="004E2D19">
      <w:r>
        <w:t xml:space="preserve">Our analysis proceeds in three stages. </w:t>
      </w:r>
      <w:r w:rsidR="00C82ECA">
        <w:t xml:space="preserve">We first identify the </w:t>
      </w:r>
      <w:r w:rsidR="00043510">
        <w:t xml:space="preserve">key characteristics of countries </w:t>
      </w:r>
      <w:r w:rsidR="008451FC">
        <w:t xml:space="preserve">with high net revenues from </w:t>
      </w:r>
      <w:r w:rsidR="00C82ECA">
        <w:t xml:space="preserve">international tourism. </w:t>
      </w:r>
      <w:r w:rsidR="00D64E3C">
        <w:t>We find that those countries are generally small</w:t>
      </w:r>
      <w:r w:rsidR="00A94EE3">
        <w:t xml:space="preserve">, with </w:t>
      </w:r>
      <w:r w:rsidR="004552D4">
        <w:t>tourism activities playing a central role</w:t>
      </w:r>
      <w:r w:rsidR="00B3240A">
        <w:t xml:space="preserve">. For instance, for the countries of the Eastern Caribbean Currency Union net revenues from </w:t>
      </w:r>
      <w:r w:rsidR="00321263">
        <w:t xml:space="preserve">international </w:t>
      </w:r>
      <w:r w:rsidR="00B3240A">
        <w:t xml:space="preserve">tourism averaged close to 40 percent of GDP during the period 2015-19. Tourism-dependent economies </w:t>
      </w:r>
      <w:r w:rsidR="006C39E6">
        <w:t xml:space="preserve">generally have </w:t>
      </w:r>
      <w:r w:rsidR="00A94EE3">
        <w:t>GDP per capita in the middle-income and high-income range</w:t>
      </w:r>
      <w:r w:rsidR="004710F8">
        <w:t xml:space="preserve">, </w:t>
      </w:r>
      <w:r w:rsidR="004552D4">
        <w:t>and they are p</w:t>
      </w:r>
      <w:r w:rsidR="004710F8">
        <w:t>repondera</w:t>
      </w:r>
      <w:r w:rsidR="004552D4">
        <w:t>tely</w:t>
      </w:r>
      <w:r w:rsidR="004710F8">
        <w:t xml:space="preserve"> net debtors</w:t>
      </w:r>
      <w:r w:rsidR="00D64E3C">
        <w:t xml:space="preserve">. </w:t>
      </w:r>
      <w:r w:rsidR="004710F8">
        <w:t xml:space="preserve">In contrast, countries </w:t>
      </w:r>
      <w:r w:rsidR="003725A6">
        <w:t>with high net spending on international tourism tend to be large,</w:t>
      </w:r>
      <w:r w:rsidR="00BC134C">
        <w:t xml:space="preserve"> with a relatively modest ratio of such spending to GDP.</w:t>
      </w:r>
      <w:r w:rsidR="006C39E6">
        <w:t xml:space="preserve"> For instance </w:t>
      </w:r>
      <w:r w:rsidR="00E81B21">
        <w:t xml:space="preserve">China, the </w:t>
      </w:r>
      <w:r w:rsidR="0016545F">
        <w:t>count</w:t>
      </w:r>
      <w:r w:rsidR="00275BCE">
        <w:t>ry</w:t>
      </w:r>
      <w:r w:rsidR="0016545F">
        <w:t xml:space="preserve"> with the largest international travel deficit in absolute term</w:t>
      </w:r>
      <w:r w:rsidR="00275BCE">
        <w:t>s</w:t>
      </w:r>
      <w:r w:rsidR="0016545F">
        <w:t xml:space="preserve">, </w:t>
      </w:r>
      <w:r w:rsidR="00F75A73">
        <w:t xml:space="preserve">net spending </w:t>
      </w:r>
      <w:r w:rsidR="00275BCE">
        <w:t xml:space="preserve">on international travel </w:t>
      </w:r>
      <w:r w:rsidR="00F75A73">
        <w:t>averaged 1.7 percent of GDP</w:t>
      </w:r>
      <w:r w:rsidR="00275BCE">
        <w:t xml:space="preserve"> during 2015-19</w:t>
      </w:r>
      <w:r w:rsidR="00F75A73">
        <w:t>.</w:t>
      </w:r>
    </w:p>
    <w:p w14:paraId="556D5F69" w14:textId="5D0462EA" w:rsidR="007C70E6" w:rsidRDefault="008451FC" w:rsidP="004E2D19">
      <w:r>
        <w:t xml:space="preserve">We then </w:t>
      </w:r>
      <w:r w:rsidR="004B45B5">
        <w:t xml:space="preserve">document </w:t>
      </w:r>
      <w:r w:rsidR="00F4442F">
        <w:t xml:space="preserve">how </w:t>
      </w:r>
      <w:r w:rsidR="008A17BD">
        <w:t xml:space="preserve">the </w:t>
      </w:r>
      <w:r w:rsidR="004B45B5">
        <w:t xml:space="preserve">travel </w:t>
      </w:r>
      <w:r w:rsidR="008A17BD">
        <w:t>shock has affected the balance of payments</w:t>
      </w:r>
      <w:r w:rsidR="00520D14">
        <w:t xml:space="preserve"> in 2020</w:t>
      </w:r>
      <w:r w:rsidR="00BD55AC">
        <w:t xml:space="preserve">. </w:t>
      </w:r>
      <w:r w:rsidR="00F1111D">
        <w:t>We</w:t>
      </w:r>
      <w:r w:rsidR="00963D02">
        <w:t xml:space="preserve"> show that </w:t>
      </w:r>
      <w:r w:rsidR="00FA6D3B">
        <w:t>the magnitude of the decline in net revenues f</w:t>
      </w:r>
      <w:r w:rsidR="00E47D4D">
        <w:t>rom international</w:t>
      </w:r>
      <w:r w:rsidR="00FA6D3B">
        <w:t xml:space="preserve"> travel </w:t>
      </w:r>
      <w:r w:rsidR="00B8017D">
        <w:t xml:space="preserve">for small tourism-dependent economies </w:t>
      </w:r>
      <w:r w:rsidR="00FA6D3B">
        <w:t>was staggering</w:t>
      </w:r>
      <w:r w:rsidR="00E47D4D">
        <w:t xml:space="preserve"> (often exceeding 10 percent of GDP)</w:t>
      </w:r>
      <w:r w:rsidR="008655B9">
        <w:t xml:space="preserve">. This loss in net exports led to a </w:t>
      </w:r>
      <w:r w:rsidR="00963D02">
        <w:t>current account deterioration</w:t>
      </w:r>
      <w:r w:rsidR="00FA6D3B">
        <w:t xml:space="preserve"> </w:t>
      </w:r>
      <w:r w:rsidR="008655B9">
        <w:t>that</w:t>
      </w:r>
      <w:r w:rsidR="00DD6EFF">
        <w:t>,</w:t>
      </w:r>
      <w:r w:rsidR="008655B9">
        <w:t xml:space="preserve"> while sizable</w:t>
      </w:r>
      <w:r w:rsidR="00DD6EFF">
        <w:t>,</w:t>
      </w:r>
      <w:r w:rsidR="008655B9">
        <w:t xml:space="preserve"> was much smaller</w:t>
      </w:r>
      <w:r w:rsidR="00DB7E3F">
        <w:t xml:space="preserve">. Specifically, </w:t>
      </w:r>
      <w:r w:rsidR="0082081C">
        <w:t xml:space="preserve">imports of goods declined </w:t>
      </w:r>
      <w:r w:rsidR="00A43776">
        <w:t xml:space="preserve">(reflecting both a contraction </w:t>
      </w:r>
      <w:r w:rsidR="000341AF">
        <w:t xml:space="preserve">in domestic demand </w:t>
      </w:r>
      <w:r w:rsidR="00A43776">
        <w:t>and a decline in tourism inputs such as imported food and energy)</w:t>
      </w:r>
      <w:r w:rsidR="008B31EA">
        <w:t xml:space="preserve"> and the primary income balance improved with the decline in returns for foreign-owned hotel infrastructure. </w:t>
      </w:r>
      <w:r w:rsidR="00B55F0E">
        <w:t xml:space="preserve">Overall, we find that the </w:t>
      </w:r>
      <w:r w:rsidR="00455CF5">
        <w:t>travel shock</w:t>
      </w:r>
      <w:r w:rsidR="004F7302">
        <w:t xml:space="preserve">, together with </w:t>
      </w:r>
      <w:r w:rsidR="00455CF5">
        <w:t>the big reduction in oil prices</w:t>
      </w:r>
      <w:r w:rsidR="004F7302">
        <w:t>,</w:t>
      </w:r>
      <w:r w:rsidR="00455CF5">
        <w:t xml:space="preserve"> </w:t>
      </w:r>
      <w:r w:rsidR="00654363">
        <w:t xml:space="preserve">explain an important share of global current account adjustments in 2020. </w:t>
      </w:r>
    </w:p>
    <w:p w14:paraId="5F28EF6C" w14:textId="7341F152" w:rsidR="00F1111D" w:rsidRDefault="00F1111D" w:rsidP="004E2D19">
      <w:r>
        <w:t xml:space="preserve">Finally we present some simple cross-country regressions that relate the </w:t>
      </w:r>
      <w:r w:rsidR="00325D10">
        <w:t xml:space="preserve">COVID-19-related </w:t>
      </w:r>
      <w:r>
        <w:t xml:space="preserve">shortfall in growth in 2020 </w:t>
      </w:r>
      <w:r w:rsidR="00325D10">
        <w:t>to a variety of controls, including in particular measures of the severity of the pandemic</w:t>
      </w:r>
      <w:r w:rsidR="005F6FDC">
        <w:t xml:space="preserve">, </w:t>
      </w:r>
      <w:r w:rsidR="00154DA7">
        <w:t xml:space="preserve">measures of the sectoral composition of GDP such as the </w:t>
      </w:r>
      <w:r w:rsidR="00F75E9C">
        <w:t>share of value added accounted for by manufacturing and agriculture,</w:t>
      </w:r>
      <w:r w:rsidR="00325D10">
        <w:t xml:space="preserve"> and </w:t>
      </w:r>
      <w:r w:rsidR="00383A92">
        <w:t>estimates of the pre-crisis share of GDP accounted for by tourism activities. Th</w:t>
      </w:r>
      <w:r w:rsidR="005B4BEB">
        <w:t xml:space="preserve">e latter measure is not only </w:t>
      </w:r>
      <w:r w:rsidR="002D4970">
        <w:t xml:space="preserve">statistically very significant, but also accounts for a sizable fraction of the cross-country variance in the growth </w:t>
      </w:r>
      <w:r w:rsidR="007448BA">
        <w:t xml:space="preserve">decline. </w:t>
      </w:r>
      <w:r w:rsidR="00236B0D">
        <w:t>This</w:t>
      </w:r>
      <w:r w:rsidR="00A221ED">
        <w:t xml:space="preserve">, together with the evidence on the importance of </w:t>
      </w:r>
      <w:r w:rsidR="00325644">
        <w:t xml:space="preserve">the share of agricultural and manufacturing activity in GDP </w:t>
      </w:r>
      <w:r w:rsidR="00001464">
        <w:t xml:space="preserve">in explaining the intensity of 2020 growth shortfalls, </w:t>
      </w:r>
      <w:r w:rsidR="00236B0D">
        <w:t xml:space="preserve">suggests that the </w:t>
      </w:r>
      <w:r w:rsidR="009B01AC">
        <w:t xml:space="preserve">sectoral </w:t>
      </w:r>
      <w:r w:rsidR="00236B0D">
        <w:t xml:space="preserve">composition of pre-pandemic output </w:t>
      </w:r>
      <w:r w:rsidR="00605AF3">
        <w:t>has been a crucial factor in explaining the extent of economic stress experienced in 2020</w:t>
      </w:r>
      <w:r w:rsidR="009B01AC">
        <w:t xml:space="preserve">. </w:t>
      </w:r>
    </w:p>
    <w:p w14:paraId="1264CF1D" w14:textId="42C13C93" w:rsidR="00A05F46" w:rsidRDefault="006B6446" w:rsidP="004E2D19">
      <w:pPr>
        <w:rPr>
          <w:highlight w:val="yellow"/>
        </w:rPr>
      </w:pPr>
      <w:r>
        <w:lastRenderedPageBreak/>
        <w:t xml:space="preserve">A number of publications by international organizations have </w:t>
      </w:r>
      <w:r w:rsidR="00902195">
        <w:t>highlight</w:t>
      </w:r>
      <w:r>
        <w:t>ed</w:t>
      </w:r>
      <w:r w:rsidR="00902195">
        <w:t xml:space="preserve"> the impact of the crisis on the tourism industry and </w:t>
      </w:r>
      <w:r w:rsidR="002235BC">
        <w:t>outlined possible recovery scenarios</w:t>
      </w:r>
      <w:r w:rsidR="00C15A3D">
        <w:t xml:space="preserve"> (see, for instance, </w:t>
      </w:r>
      <w:r w:rsidR="00BA3383">
        <w:t xml:space="preserve">UNCTAD, 2021; </w:t>
      </w:r>
      <w:r w:rsidR="00C15A3D">
        <w:t>UNWTO, 2021b</w:t>
      </w:r>
      <w:r w:rsidR="00BA3383">
        <w:t xml:space="preserve">; </w:t>
      </w:r>
      <w:r w:rsidR="003D48FC">
        <w:t>and</w:t>
      </w:r>
      <w:r w:rsidR="00693A42">
        <w:t xml:space="preserve"> </w:t>
      </w:r>
      <w:r w:rsidR="005A59AB">
        <w:t>World Travel and Tourism Council, 2021)</w:t>
      </w:r>
      <w:r w:rsidR="00EF0971">
        <w:t xml:space="preserve">. </w:t>
      </w:r>
      <w:r w:rsidR="00CD0C10">
        <w:t xml:space="preserve">Skare et al. (2021) </w:t>
      </w:r>
      <w:r w:rsidR="00343139">
        <w:t>provide a</w:t>
      </w:r>
      <w:r w:rsidR="00EF0971">
        <w:t xml:space="preserve">n early </w:t>
      </w:r>
      <w:r w:rsidR="00A94090">
        <w:t xml:space="preserve">attempt at </w:t>
      </w:r>
      <w:r w:rsidR="00CD0C10">
        <w:t xml:space="preserve">empirical analysis to </w:t>
      </w:r>
      <w:r w:rsidR="00A94090">
        <w:t>estimat</w:t>
      </w:r>
      <w:r w:rsidR="00343139">
        <w:t xml:space="preserve">e the repercussions of the crisis on the travel and tourism industry, using pre-crisis data. </w:t>
      </w:r>
      <w:r w:rsidR="00A33864">
        <w:t>O</w:t>
      </w:r>
      <w:r w:rsidR="00B41EBD">
        <w:t>ther research on the impact of shocks to the travel and tourism industry has focused on episodes such as the aftermath of the September 11 terrorist attacks (</w:t>
      </w:r>
      <w:r w:rsidR="00720A8A">
        <w:t xml:space="preserve">Blunk et al, 2006); </w:t>
      </w:r>
      <w:r w:rsidR="005C045C">
        <w:t xml:space="preserve">the impact of the SARS pandemic </w:t>
      </w:r>
      <w:r w:rsidR="00E97D84">
        <w:t xml:space="preserve">and Avian flu </w:t>
      </w:r>
      <w:r w:rsidR="005C045C">
        <w:t xml:space="preserve">on tourism </w:t>
      </w:r>
      <w:r w:rsidR="00E97D84">
        <w:t>(Kao et al, 2008); and the consequences of natural disasters</w:t>
      </w:r>
      <w:r w:rsidR="002E3D2B">
        <w:t xml:space="preserve"> on tourism (Rossello et al, 2020). </w:t>
      </w:r>
    </w:p>
    <w:p w14:paraId="32C15150" w14:textId="19CC03FA" w:rsidR="00025D83" w:rsidRDefault="007751F0" w:rsidP="004E2D19">
      <w:r>
        <w:t>A growing l</w:t>
      </w:r>
      <w:r w:rsidR="002235BC">
        <w:t xml:space="preserve">iterature </w:t>
      </w:r>
      <w:r w:rsidR="00AB5399">
        <w:t xml:space="preserve">related to this paper has examined </w:t>
      </w:r>
      <w:r w:rsidR="00D87606">
        <w:t>the sectoral impact of the COVI</w:t>
      </w:r>
      <w:r w:rsidR="00AB5399">
        <w:t>D</w:t>
      </w:r>
      <w:r w:rsidR="00D87606">
        <w:t>-19 crisis</w:t>
      </w:r>
      <w:r w:rsidR="00A67EB8">
        <w:t xml:space="preserve"> </w:t>
      </w:r>
      <w:r w:rsidR="00AB5399">
        <w:t xml:space="preserve">on output and employment, and how it differs from </w:t>
      </w:r>
      <w:r w:rsidR="00205D24">
        <w:t xml:space="preserve">previous recessions (see, for instance, </w:t>
      </w:r>
      <w:r w:rsidR="00D30D7A">
        <w:t>chapter</w:t>
      </w:r>
      <w:r w:rsidR="009E7268">
        <w:t>s</w:t>
      </w:r>
      <w:r w:rsidR="00D30D7A">
        <w:t xml:space="preserve"> </w:t>
      </w:r>
      <w:r w:rsidR="009E7268">
        <w:t xml:space="preserve">2 and </w:t>
      </w:r>
      <w:r w:rsidR="00D30D7A">
        <w:t xml:space="preserve">3 in </w:t>
      </w:r>
      <w:r w:rsidR="004307DF">
        <w:t>IMF, 2021)</w:t>
      </w:r>
      <w:r w:rsidR="009E7268">
        <w:t xml:space="preserve">. </w:t>
      </w:r>
      <w:r w:rsidR="00025D83">
        <w:t xml:space="preserve">In terms of methodology, the </w:t>
      </w:r>
      <w:r w:rsidR="0075413A">
        <w:t>paper is related to Lane and Milesi-Ferretti (20</w:t>
      </w:r>
      <w:r w:rsidR="00C219F4">
        <w:t>1</w:t>
      </w:r>
      <w:r w:rsidR="006F002C">
        <w:t>1, 2012</w:t>
      </w:r>
      <w:r w:rsidR="0075413A">
        <w:t xml:space="preserve">) who focus on economic performance during the global financial crisis, </w:t>
      </w:r>
      <w:r w:rsidR="009D3848">
        <w:t xml:space="preserve">and show that precrisis current account imbalances are a very powerful predictor of </w:t>
      </w:r>
      <w:r w:rsidR="009B1752">
        <w:t xml:space="preserve">economic performance during the </w:t>
      </w:r>
      <w:r w:rsidR="00CA147F">
        <w:t>global financial crisis of 2008-2009</w:t>
      </w:r>
      <w:r w:rsidR="009B1752">
        <w:t xml:space="preserve">. </w:t>
      </w:r>
    </w:p>
    <w:p w14:paraId="7A498C50" w14:textId="1128E937" w:rsidR="002B438B" w:rsidRDefault="002B438B" w:rsidP="008D2E51">
      <w:pPr>
        <w:pStyle w:val="Heading1"/>
        <w:jc w:val="center"/>
      </w:pPr>
      <w:r>
        <w:t>T</w:t>
      </w:r>
      <w:r w:rsidR="006168DE">
        <w:t>rav</w:t>
      </w:r>
      <w:r w:rsidR="008D2E51">
        <w:t>el revenues and t</w:t>
      </w:r>
      <w:r>
        <w:t xml:space="preserve">he balance of payments </w:t>
      </w:r>
    </w:p>
    <w:p w14:paraId="4FA3BB9C" w14:textId="77777777" w:rsidR="008D2E51" w:rsidRDefault="008D2E51" w:rsidP="002B438B"/>
    <w:p w14:paraId="5D272106" w14:textId="62CE9453" w:rsidR="00A56EF7" w:rsidRDefault="007E7AE9" w:rsidP="002B438B">
      <w:r>
        <w:t xml:space="preserve">In the balance of payments, the category of services most affected by the </w:t>
      </w:r>
      <w:r w:rsidR="001F6864">
        <w:t>restrictions on international travel is “travel services”. Th</w:t>
      </w:r>
      <w:r w:rsidR="00A40BD3">
        <w:t>is category includes b</w:t>
      </w:r>
      <w:r w:rsidR="00071BA5">
        <w:t xml:space="preserve">oth personal travel and business travel. </w:t>
      </w:r>
      <w:r w:rsidR="00A40BD3">
        <w:t>We also examine a secon</w:t>
      </w:r>
      <w:r w:rsidR="00DB6107">
        <w:t xml:space="preserve">d category of services, namely transportation. This category includes passenger travel </w:t>
      </w:r>
      <w:r w:rsidR="00D72302">
        <w:t>(for instance, tickets sold to nonresidents by a domestic airline</w:t>
      </w:r>
      <w:r w:rsidR="009300D8">
        <w:t xml:space="preserve">), freight, and </w:t>
      </w:r>
      <w:r w:rsidR="009F2A98">
        <w:t>other transportation, which includes postal and courier</w:t>
      </w:r>
      <w:r w:rsidR="00A56EF7">
        <w:t xml:space="preserve"> deliveries. </w:t>
      </w:r>
      <w:r w:rsidR="00AC65D9">
        <w:t xml:space="preserve">For both categories, we focus on </w:t>
      </w:r>
      <w:r w:rsidR="000B4EDF">
        <w:t xml:space="preserve">the repercussion of the crisis on </w:t>
      </w:r>
      <w:r w:rsidR="00AC65D9">
        <w:t>net external revenues</w:t>
      </w:r>
      <w:r w:rsidR="00970860">
        <w:t xml:space="preserve">, to take into account the fact that the crisis impact also reduces overseas outlays by domestic residents. </w:t>
      </w:r>
    </w:p>
    <w:p w14:paraId="74E1D144" w14:textId="46CDCA2E" w:rsidR="008D2E51" w:rsidRDefault="008D2E51" w:rsidP="008D2E51">
      <w:pPr>
        <w:pStyle w:val="Heading2"/>
      </w:pPr>
      <w:r>
        <w:t>Pre-crisis</w:t>
      </w:r>
    </w:p>
    <w:p w14:paraId="4AA55406" w14:textId="77777777" w:rsidR="008D2E51" w:rsidRDefault="008D2E51" w:rsidP="002B438B"/>
    <w:p w14:paraId="485B4293" w14:textId="72BCEDEE" w:rsidR="00A023D5" w:rsidRDefault="00FE51C5" w:rsidP="00A023D5">
      <w:r>
        <w:t xml:space="preserve">We start by characterizing </w:t>
      </w:r>
      <w:r w:rsidR="006D0A39">
        <w:t xml:space="preserve">the relative importance of these categories of services </w:t>
      </w:r>
      <w:r w:rsidR="006E69FB">
        <w:t xml:space="preserve">across countries prior to pandemic, before turning to the impact of the “travel shock.” </w:t>
      </w:r>
      <w:r w:rsidR="00A023D5">
        <w:t xml:space="preserve">In the presentation of international travel and transportation statistics, we focus on the balance of trade in those services, rather than </w:t>
      </w:r>
      <w:r w:rsidR="00A71D2C">
        <w:t xml:space="preserve">gross </w:t>
      </w:r>
      <w:r w:rsidR="00A023D5">
        <w:t xml:space="preserve">export revenues, to take into account the fact that </w:t>
      </w:r>
      <w:r w:rsidR="00A71D2C">
        <w:t xml:space="preserve">the </w:t>
      </w:r>
      <w:r w:rsidR="00A023D5">
        <w:t xml:space="preserve">international travel restrictions </w:t>
      </w:r>
      <w:r w:rsidR="00A71D2C">
        <w:t xml:space="preserve">imposed in 2020 </w:t>
      </w:r>
      <w:r w:rsidR="00A023D5">
        <w:t>may have pushed domestic travelers that normally vacation overseas to remain in their home country, thus reducing the impact on activity of the loss in external revenues.</w:t>
      </w:r>
    </w:p>
    <w:p w14:paraId="73AB07C6" w14:textId="4A37F2C9" w:rsidR="00C24307" w:rsidRDefault="001257F1" w:rsidP="00C24307">
      <w:r>
        <w:t xml:space="preserve">Global revenues and expenditures on international travel services </w:t>
      </w:r>
      <w:r w:rsidR="00C66297">
        <w:t xml:space="preserve">were around </w:t>
      </w:r>
      <w:r w:rsidR="004C13A0">
        <w:t>$</w:t>
      </w:r>
      <w:r w:rsidR="00C66297">
        <w:t>1.</w:t>
      </w:r>
      <w:r w:rsidR="004C13A0">
        <w:t>45 trillion in 2019, having grown some 5 percent per year in nominal terms since the start of that decade</w:t>
      </w:r>
      <w:r w:rsidR="00FA4E3B">
        <w:t>,</w:t>
      </w:r>
      <w:r w:rsidR="00C60F76">
        <w:t xml:space="preserve"> </w:t>
      </w:r>
      <w:r w:rsidR="00B51FEB">
        <w:t xml:space="preserve">with </w:t>
      </w:r>
      <w:bookmarkStart w:id="0" w:name="_GoBack"/>
      <w:bookmarkEnd w:id="0"/>
      <w:r w:rsidR="00C60F76">
        <w:t>a slightly increasing share of world GDP (Figure 1)</w:t>
      </w:r>
      <w:r w:rsidR="004C13A0">
        <w:t xml:space="preserve">. </w:t>
      </w:r>
      <w:r w:rsidR="00044C76">
        <w:t xml:space="preserve">They represented </w:t>
      </w:r>
      <w:r w:rsidR="000F7F49">
        <w:t xml:space="preserve">some 23 percent </w:t>
      </w:r>
      <w:r w:rsidR="00044C76">
        <w:t xml:space="preserve">of total </w:t>
      </w:r>
      <w:r w:rsidR="0068391E">
        <w:t xml:space="preserve">revenues and expenditures from international trade in services. </w:t>
      </w:r>
      <w:r w:rsidR="007C1220">
        <w:t xml:space="preserve">For </w:t>
      </w:r>
      <w:r w:rsidR="00CC0111">
        <w:t xml:space="preserve">international </w:t>
      </w:r>
      <w:r w:rsidR="007C1220">
        <w:t xml:space="preserve">transportation services </w:t>
      </w:r>
      <w:r w:rsidR="00CC0111">
        <w:t xml:space="preserve">global </w:t>
      </w:r>
      <w:r w:rsidR="007C1220">
        <w:t>revenues and expenditures were around $1 trillion dollars in 2019</w:t>
      </w:r>
      <w:r w:rsidR="008D7E35">
        <w:t xml:space="preserve"> (some 17 percent of total revenues and expenditures on services)</w:t>
      </w:r>
      <w:r w:rsidR="007C1220">
        <w:t xml:space="preserve">. </w:t>
      </w:r>
    </w:p>
    <w:p w14:paraId="6672318E" w14:textId="62F36300" w:rsidR="00887112" w:rsidRDefault="008A612F" w:rsidP="002B438B">
      <w:r>
        <w:t xml:space="preserve">For tourism-dependent countries, the support to the balance of payments coming from travel services is very substantial. </w:t>
      </w:r>
      <w:r w:rsidR="00BF4A9B">
        <w:t xml:space="preserve">Table 1 provides statistics for those economies </w:t>
      </w:r>
      <w:r w:rsidR="00B86300">
        <w:t xml:space="preserve">in which the surplus from international travel services exceeded 5 percent of GDP on average during the period 2015-19. </w:t>
      </w:r>
      <w:r w:rsidR="00CC518C">
        <w:t xml:space="preserve">For instance, </w:t>
      </w:r>
      <w:r w:rsidR="00307E03">
        <w:t xml:space="preserve">in Croatia </w:t>
      </w:r>
      <w:r w:rsidR="007C6F26">
        <w:t xml:space="preserve">over 2015-19 the average </w:t>
      </w:r>
      <w:r w:rsidR="00307E03">
        <w:t>surplus in those service categories exceeded 1</w:t>
      </w:r>
      <w:r w:rsidR="002E0F5C">
        <w:t>5</w:t>
      </w:r>
      <w:r w:rsidR="00307E03">
        <w:t xml:space="preserve"> percent of GDP, while it was above </w:t>
      </w:r>
      <w:r w:rsidR="00BE7C44">
        <w:t xml:space="preserve">8 percent of GDP in </w:t>
      </w:r>
      <w:r w:rsidR="000605FF">
        <w:t xml:space="preserve">the Dominican Republic and </w:t>
      </w:r>
      <w:r w:rsidR="00BE7C44">
        <w:t>Thailand, 7</w:t>
      </w:r>
      <w:r w:rsidR="00307E03">
        <w:t xml:space="preserve"> percent of GDP in Greece, </w:t>
      </w:r>
      <w:r w:rsidR="00BE7C44">
        <w:t>and 5</w:t>
      </w:r>
      <w:r w:rsidR="007E6B7B">
        <w:t xml:space="preserve"> percent in Portugal. </w:t>
      </w:r>
      <w:r w:rsidR="006D64C0">
        <w:t xml:space="preserve">But the majority of </w:t>
      </w:r>
      <w:r w:rsidR="00EF5EB2">
        <w:t>economies</w:t>
      </w:r>
      <w:r w:rsidR="006D64C0">
        <w:t xml:space="preserve"> with large net external revenues from travel and tourism consist of small islands </w:t>
      </w:r>
      <w:r w:rsidR="007E55E2">
        <w:t xml:space="preserve">in the Caribbean, the Pacific, </w:t>
      </w:r>
      <w:r w:rsidR="00DB16B5">
        <w:t>and the Indian Ocean</w:t>
      </w:r>
      <w:r w:rsidR="00AC5BAC">
        <w:t xml:space="preserve">. </w:t>
      </w:r>
      <w:r w:rsidR="006B022A">
        <w:t xml:space="preserve">In our sample, </w:t>
      </w:r>
      <w:r w:rsidR="00F16CC4">
        <w:t xml:space="preserve">20 of the 37 </w:t>
      </w:r>
      <w:r w:rsidR="0033034A">
        <w:t>economies</w:t>
      </w:r>
      <w:r w:rsidR="00912893">
        <w:t xml:space="preserve"> </w:t>
      </w:r>
      <w:r w:rsidR="00F16CC4">
        <w:t xml:space="preserve">with net revenues from </w:t>
      </w:r>
      <w:r w:rsidR="00F16CC4">
        <w:lastRenderedPageBreak/>
        <w:t xml:space="preserve">travel and tourism exceeding 5 percent of GDP on average </w:t>
      </w:r>
      <w:r w:rsidR="00976A03">
        <w:t xml:space="preserve">during 2015-19 </w:t>
      </w:r>
      <w:r w:rsidR="00F16CC4">
        <w:t>had GDP in 2019 below US$10 billion</w:t>
      </w:r>
      <w:r w:rsidR="007247D6">
        <w:t>, and 24 of them had population below 1 million</w:t>
      </w:r>
      <w:r w:rsidR="00F16CC4">
        <w:t xml:space="preserve">. </w:t>
      </w:r>
      <w:r w:rsidR="00A213D2">
        <w:t>A</w:t>
      </w:r>
      <w:r w:rsidR="007659C2">
        <w:t xml:space="preserve">mong those </w:t>
      </w:r>
      <w:r w:rsidR="00F32EFD">
        <w:t>economies</w:t>
      </w:r>
      <w:r w:rsidR="007659C2">
        <w:t xml:space="preserve">, median net revenues from </w:t>
      </w:r>
      <w:r w:rsidR="003878F0">
        <w:t xml:space="preserve">foreign </w:t>
      </w:r>
      <w:r w:rsidR="007659C2">
        <w:t xml:space="preserve">tourism </w:t>
      </w:r>
      <w:r w:rsidR="00D34A35">
        <w:t>exceeded 26 percent of GDP, highl</w:t>
      </w:r>
      <w:r w:rsidR="00887112">
        <w:t xml:space="preserve">ighting the central role played by the </w:t>
      </w:r>
      <w:r w:rsidR="003E343E">
        <w:t>s</w:t>
      </w:r>
      <w:r w:rsidR="00887112">
        <w:t>ector in economic activity.</w:t>
      </w:r>
      <w:r w:rsidR="003D4F30">
        <w:t xml:space="preserve"> The most extreme example of the importance </w:t>
      </w:r>
      <w:r w:rsidR="00D637F1">
        <w:t>of net external revenues from travel and tourism is Maca</w:t>
      </w:r>
      <w:r w:rsidR="00C73696">
        <w:t>u</w:t>
      </w:r>
      <w:r w:rsidR="00D637F1">
        <w:t xml:space="preserve"> SAR</w:t>
      </w:r>
      <w:r w:rsidR="00E20AD6">
        <w:t xml:space="preserve">, where net revenues </w:t>
      </w:r>
      <w:r w:rsidR="002F1937">
        <w:t xml:space="preserve">were around 68 percent of GDP during 2015-19. </w:t>
      </w:r>
      <w:r w:rsidR="0042121C">
        <w:t>E</w:t>
      </w:r>
      <w:r w:rsidR="002F1937">
        <w:t>ven in absolute terms</w:t>
      </w:r>
      <w:r w:rsidR="00C73696">
        <w:t>. Maca</w:t>
      </w:r>
      <w:r w:rsidR="005B3B7E">
        <w:t>o</w:t>
      </w:r>
      <w:r w:rsidR="00C73696">
        <w:t xml:space="preserve">’s </w:t>
      </w:r>
      <w:r w:rsidR="002F1937">
        <w:t xml:space="preserve">net revenues from tourism were the fourth highest in the world, </w:t>
      </w:r>
      <w:r w:rsidR="00742FC9">
        <w:t>after the U.S., Spain, and Thailand</w:t>
      </w:r>
      <w:r w:rsidR="00BA5CAC">
        <w:t xml:space="preserve"> (Table 2</w:t>
      </w:r>
      <w:r w:rsidR="00CF2816">
        <w:t>, panel 1</w:t>
      </w:r>
      <w:r w:rsidR="00BA5CAC">
        <w:t>)</w:t>
      </w:r>
      <w:r w:rsidR="00742FC9">
        <w:t xml:space="preserve">. </w:t>
      </w:r>
    </w:p>
    <w:p w14:paraId="56DAD68C" w14:textId="7B0DA8B8" w:rsidR="00CF2816" w:rsidRDefault="00CF2816" w:rsidP="00CF2816">
      <w:r>
        <w:t xml:space="preserve">In contrast, for the countries that are net importers of travel and tourism services, the balance is generally much smaller as a share of GDP. In absolute terms, the largest importer of travel services is China (over $200 billion or 1.7 percent of GDP on average during 2015-19), followed by Germany and Russia (Table 2, panel 2). </w:t>
      </w:r>
    </w:p>
    <w:p w14:paraId="1682613C" w14:textId="59C20C6E" w:rsidR="0056608C" w:rsidRDefault="00D4791A" w:rsidP="002B438B">
      <w:r>
        <w:t>Table 3 provides a breakdown of the current account balance for touri</w:t>
      </w:r>
      <w:r w:rsidR="00F61B71">
        <w:t>sm-dependent economies</w:t>
      </w:r>
      <w:r w:rsidR="00687EF3">
        <w:t xml:space="preserve"> which includes the merchandise income balance, the balance on services net of international travel, the primary income balance (which mostly reflects investment income), and the secondary income balance (mostly capturing workers’ remittances). </w:t>
      </w:r>
      <w:r w:rsidR="00256C3B">
        <w:t xml:space="preserve">From the perspective of their external </w:t>
      </w:r>
      <w:r w:rsidR="0042121C">
        <w:t>accounts</w:t>
      </w:r>
      <w:r w:rsidR="00BF55C1" w:rsidRPr="00BF55C1">
        <w:t xml:space="preserve"> </w:t>
      </w:r>
      <w:r w:rsidR="00BF55C1">
        <w:t>during the pre-COVID period</w:t>
      </w:r>
      <w:r w:rsidR="00256C3B">
        <w:t xml:space="preserve">, countries relying heavily on tourism revenues </w:t>
      </w:r>
      <w:r w:rsidR="003E0E81">
        <w:t xml:space="preserve">had sizable current account deficits, very </w:t>
      </w:r>
      <w:r w:rsidR="00AD54D6">
        <w:t xml:space="preserve">large deficits in their </w:t>
      </w:r>
      <w:r w:rsidR="003E0E81">
        <w:t xml:space="preserve">merchandise trade </w:t>
      </w:r>
      <w:r w:rsidR="00AD54D6">
        <w:t xml:space="preserve">balance </w:t>
      </w:r>
      <w:r w:rsidR="00A968A2">
        <w:t>(including imports of oil)</w:t>
      </w:r>
      <w:r w:rsidR="0044633C">
        <w:t xml:space="preserve">, </w:t>
      </w:r>
      <w:r w:rsidR="0083659D">
        <w:t>(Table 3)</w:t>
      </w:r>
      <w:r w:rsidR="00B764BF">
        <w:t>, a</w:t>
      </w:r>
      <w:r w:rsidR="00CA11EB">
        <w:t>s well as a negative primary income balance</w:t>
      </w:r>
      <w:r w:rsidR="0073148D">
        <w:t xml:space="preserve">, being </w:t>
      </w:r>
      <w:r w:rsidR="00414792">
        <w:t>generally large net debtors in terms of their international investment position</w:t>
      </w:r>
      <w:r w:rsidR="00292273">
        <w:t xml:space="preserve"> (Table </w:t>
      </w:r>
      <w:r w:rsidR="0083659D">
        <w:t>4</w:t>
      </w:r>
      <w:r w:rsidR="00292273">
        <w:t>)</w:t>
      </w:r>
      <w:r w:rsidR="00B764BF">
        <w:t>.</w:t>
      </w:r>
      <w:r w:rsidR="00C655B4">
        <w:rPr>
          <w:rStyle w:val="FootnoteReference"/>
        </w:rPr>
        <w:footnoteReference w:id="1"/>
      </w:r>
      <w:r w:rsidR="008C5EDF">
        <w:t xml:space="preserve"> </w:t>
      </w:r>
      <w:r w:rsidR="0073148D">
        <w:t>In contrast, most touri</w:t>
      </w:r>
      <w:r>
        <w:t>s</w:t>
      </w:r>
      <w:r w:rsidR="0073148D">
        <w:t xml:space="preserve">m-dependent economies receive positive secondary income flows. </w:t>
      </w:r>
      <w:r w:rsidR="006731EE">
        <w:t>T</w:t>
      </w:r>
      <w:r w:rsidR="00D96E35">
        <w:t>able 4</w:t>
      </w:r>
      <w:r w:rsidR="006731EE">
        <w:t xml:space="preserve"> also shows that while their GDP per capita in 2019 spanned a wide range, t</w:t>
      </w:r>
      <w:r w:rsidR="00D52C2F">
        <w:t xml:space="preserve">ourism-dependent </w:t>
      </w:r>
      <w:r w:rsidR="008C5EDF">
        <w:t xml:space="preserve">countries are mostly in the middle income and high income </w:t>
      </w:r>
      <w:r w:rsidR="001E26AE">
        <w:t xml:space="preserve">category. </w:t>
      </w:r>
    </w:p>
    <w:p w14:paraId="46E75EAC" w14:textId="2BE13179" w:rsidR="00C04C4B" w:rsidRDefault="00E47BA4" w:rsidP="002B438B">
      <w:r>
        <w:t xml:space="preserve">A second category of </w:t>
      </w:r>
      <w:r w:rsidR="005B0ABB">
        <w:t xml:space="preserve">services affected by the “travel shock” is </w:t>
      </w:r>
      <w:r w:rsidR="00051E41">
        <w:t xml:space="preserve">transportation. </w:t>
      </w:r>
      <w:r w:rsidR="00482CB8">
        <w:t>For this</w:t>
      </w:r>
      <w:r w:rsidR="00BD525E">
        <w:t xml:space="preserve"> category, the crisis took a heavy toll on passenger transportation (particularly airline revenues</w:t>
      </w:r>
      <w:r w:rsidR="00D912CD">
        <w:t xml:space="preserve">). </w:t>
      </w:r>
      <w:r w:rsidR="002546BC">
        <w:t>In relation to GDP</w:t>
      </w:r>
      <w:r w:rsidR="003F5D71">
        <w:t xml:space="preserve">, </w:t>
      </w:r>
      <w:r w:rsidR="002546BC">
        <w:t xml:space="preserve">these revenues are particularly important for </w:t>
      </w:r>
      <w:r w:rsidR="003F5D71">
        <w:t xml:space="preserve">countries </w:t>
      </w:r>
      <w:r w:rsidR="00FA0E7B">
        <w:t xml:space="preserve">hosting important international airlines </w:t>
      </w:r>
      <w:r w:rsidR="003F5D71">
        <w:t xml:space="preserve">such as </w:t>
      </w:r>
      <w:r w:rsidR="00983402">
        <w:t xml:space="preserve">Ethiopia, Iceland, </w:t>
      </w:r>
      <w:r w:rsidR="00314C4A">
        <w:t xml:space="preserve">Fiji, </w:t>
      </w:r>
      <w:r w:rsidR="00983402">
        <w:t xml:space="preserve">Panama, </w:t>
      </w:r>
      <w:r w:rsidR="00291B01">
        <w:t xml:space="preserve">Qatar, </w:t>
      </w:r>
      <w:r w:rsidR="00983402">
        <w:t>Turkey</w:t>
      </w:r>
      <w:r w:rsidR="00D52C2F">
        <w:t xml:space="preserve">, and </w:t>
      </w:r>
      <w:r w:rsidR="00012DA5">
        <w:t xml:space="preserve">the </w:t>
      </w:r>
      <w:r w:rsidR="00D52C2F">
        <w:t>United Arab Emirates</w:t>
      </w:r>
      <w:r w:rsidR="004B4996">
        <w:t>.</w:t>
      </w:r>
      <w:r w:rsidR="00983402">
        <w:t xml:space="preserve"> </w:t>
      </w:r>
      <w:r w:rsidR="00E8760C">
        <w:t xml:space="preserve">Revenues from </w:t>
      </w:r>
      <w:r w:rsidR="00D12AFC">
        <w:t xml:space="preserve">freight transportation (air, shipping, road, and rail) were much more resilient. </w:t>
      </w:r>
      <w:r w:rsidR="00EA7C1A">
        <w:t>Unfortunately, however, the breakdown between the different categories of transportation services is available for only a subset of countries, complicating the task of sep</w:t>
      </w:r>
      <w:r w:rsidR="00E024E2">
        <w:t xml:space="preserve">arating out passenger transportation for a </w:t>
      </w:r>
      <w:r w:rsidR="00EA7C1A">
        <w:t xml:space="preserve">global analysis. </w:t>
      </w:r>
      <w:r w:rsidR="006D3FB1">
        <w:t>For the countries providing a breakdown between different transportation categories, passenger transportation</w:t>
      </w:r>
      <w:r w:rsidR="00D82D66">
        <w:t xml:space="preserve"> accounts </w:t>
      </w:r>
      <w:r w:rsidR="006D3FB1">
        <w:t>for about ¼ of the total, with freight accounting for about half and the “other” category for the remaining quarter.</w:t>
      </w:r>
      <w:r w:rsidR="00D82D66">
        <w:t xml:space="preserve"> </w:t>
      </w:r>
      <w:r w:rsidR="00444A39">
        <w:t>T</w:t>
      </w:r>
      <w:r w:rsidR="00EF09F6">
        <w:t xml:space="preserve">he number of countries for which </w:t>
      </w:r>
      <w:r w:rsidR="00FF32C6">
        <w:t xml:space="preserve">net revenues from transportation services is high is </w:t>
      </w:r>
      <w:r w:rsidR="001352F5">
        <w:t xml:space="preserve">also </w:t>
      </w:r>
      <w:r w:rsidR="00FF32C6">
        <w:t xml:space="preserve">much more limited </w:t>
      </w:r>
      <w:r w:rsidR="0044648F">
        <w:t>than for travel services</w:t>
      </w:r>
      <w:r w:rsidR="00D0784D">
        <w:t xml:space="preserve">, </w:t>
      </w:r>
      <w:r w:rsidR="006140F4">
        <w:t xml:space="preserve">and </w:t>
      </w:r>
      <w:r w:rsidR="00D0784D">
        <w:t>includ</w:t>
      </w:r>
      <w:r w:rsidR="006140F4">
        <w:t>es</w:t>
      </w:r>
      <w:r w:rsidR="00D0784D">
        <w:t xml:space="preserve"> in particular </w:t>
      </w:r>
      <w:r w:rsidR="00DB6590">
        <w:t xml:space="preserve">Panama, </w:t>
      </w:r>
      <w:r w:rsidR="00444A39">
        <w:t xml:space="preserve">Cyprus, and </w:t>
      </w:r>
      <w:r w:rsidR="00DB6590">
        <w:t>Iceland,</w:t>
      </w:r>
      <w:r w:rsidR="00E17D38">
        <w:t xml:space="preserve"> which also have high travel </w:t>
      </w:r>
      <w:r w:rsidR="006140F4">
        <w:t xml:space="preserve">revenues (Table </w:t>
      </w:r>
      <w:r w:rsidR="0053585D">
        <w:t>5</w:t>
      </w:r>
      <w:r w:rsidR="00F026EC">
        <w:t>)</w:t>
      </w:r>
      <w:r w:rsidR="006140F4">
        <w:t xml:space="preserve">. </w:t>
      </w:r>
      <w:r w:rsidR="00DB6590">
        <w:t xml:space="preserve"> </w:t>
      </w:r>
    </w:p>
    <w:p w14:paraId="7609CA65" w14:textId="77777777" w:rsidR="00F069C3" w:rsidRDefault="00F069C3" w:rsidP="00143A42">
      <w:pPr>
        <w:pStyle w:val="Heading2"/>
      </w:pPr>
    </w:p>
    <w:p w14:paraId="4D435EA2" w14:textId="252E2337" w:rsidR="00073E3D" w:rsidRDefault="00073E3D" w:rsidP="00143A42">
      <w:pPr>
        <w:pStyle w:val="Heading2"/>
      </w:pPr>
      <w:r>
        <w:t>The Crisis</w:t>
      </w:r>
    </w:p>
    <w:p w14:paraId="2FDA144D" w14:textId="46C2F5DF" w:rsidR="00143A42" w:rsidRDefault="00143A42" w:rsidP="00073E3D"/>
    <w:p w14:paraId="405F3EA8" w14:textId="489DE059" w:rsidR="00143A42" w:rsidRDefault="00143A42" w:rsidP="00073E3D">
      <w:r>
        <w:t xml:space="preserve">As the pandemic spread beyond China’s borders in early 2020, </w:t>
      </w:r>
      <w:r w:rsidR="005572D2">
        <w:t>countries started to impose restrictions on international travel.</w:t>
      </w:r>
      <w:r w:rsidR="003D6570">
        <w:t xml:space="preserve"> As a result,</w:t>
      </w:r>
      <w:r w:rsidR="00FD47A9">
        <w:t xml:space="preserve"> nominal revenues</w:t>
      </w:r>
      <w:r w:rsidR="001D2EAE">
        <w:t xml:space="preserve"> from travel and tourism</w:t>
      </w:r>
      <w:r w:rsidR="00FD47A9">
        <w:t xml:space="preserve"> </w:t>
      </w:r>
      <w:r w:rsidR="001D2EAE">
        <w:t>in the first quarter of 2020 were about 25 percent lower than during the corresponding period in 20</w:t>
      </w:r>
      <w:r w:rsidR="0000611E">
        <w:t>19. In the second quarter revenues from international travel collapsed</w:t>
      </w:r>
      <w:r w:rsidR="00C57923">
        <w:t xml:space="preserve">—they were more than 80 percent below </w:t>
      </w:r>
      <w:r w:rsidR="0058477D">
        <w:t xml:space="preserve">their levels a year before. </w:t>
      </w:r>
      <w:r w:rsidR="006B478A">
        <w:t>R</w:t>
      </w:r>
      <w:r w:rsidR="0058477D">
        <w:t xml:space="preserve">evenues recovered some ground over the summer, </w:t>
      </w:r>
      <w:r w:rsidR="006049A7">
        <w:t xml:space="preserve">as many economies </w:t>
      </w:r>
      <w:r w:rsidR="00AF4446">
        <w:t xml:space="preserve">began to partially lift the restrictions imposed </w:t>
      </w:r>
      <w:r w:rsidR="00AF4446">
        <w:lastRenderedPageBreak/>
        <w:t>during preceding months</w:t>
      </w:r>
      <w:r w:rsidR="003505E5">
        <w:t xml:space="preserve">. However, </w:t>
      </w:r>
      <w:r w:rsidR="0058477D">
        <w:t>they plummeted again in the last quarter of the year</w:t>
      </w:r>
      <w:r w:rsidR="006B478A">
        <w:t xml:space="preserve"> as the </w:t>
      </w:r>
      <w:r w:rsidR="003505E5">
        <w:t>pandemic intensified again</w:t>
      </w:r>
      <w:r w:rsidR="00E9393F">
        <w:t xml:space="preserve">, </w:t>
      </w:r>
      <w:r w:rsidR="006538E1">
        <w:t xml:space="preserve">leaving </w:t>
      </w:r>
      <w:r w:rsidR="00724B72">
        <w:t xml:space="preserve">revenues from international travel and tourism in 2020 over 60 percent below their nominal 2019 </w:t>
      </w:r>
      <w:r w:rsidR="00570AD9">
        <w:t xml:space="preserve">US dollar </w:t>
      </w:r>
      <w:r w:rsidR="00724B72">
        <w:t>levels</w:t>
      </w:r>
      <w:r w:rsidR="002252CC">
        <w:t xml:space="preserve">. </w:t>
      </w:r>
    </w:p>
    <w:p w14:paraId="01838797" w14:textId="558CED86" w:rsidR="00D41272" w:rsidRDefault="0082739D" w:rsidP="00836093">
      <w:r>
        <w:t xml:space="preserve">The hit to countries with heavy reliance on </w:t>
      </w:r>
      <w:r w:rsidR="000653D3">
        <w:t>international tourism</w:t>
      </w:r>
      <w:r>
        <w:t xml:space="preserve"> was unprecedented</w:t>
      </w:r>
      <w:r w:rsidR="005D6C72">
        <w:t xml:space="preserve">, with a median decline in net revenues from international travel </w:t>
      </w:r>
      <w:r w:rsidR="00764339">
        <w:t xml:space="preserve">in 2020 </w:t>
      </w:r>
      <w:r w:rsidR="005D6C72">
        <w:t>exceeding 10 percent of GDP</w:t>
      </w:r>
      <w:r w:rsidR="00764339">
        <w:t xml:space="preserve"> for our sample of tourism-dependent economies. </w:t>
      </w:r>
      <w:r w:rsidR="00E8060A">
        <w:t>As a result of this shock, the current account balance of these economies deteriorated</w:t>
      </w:r>
      <w:r w:rsidR="008D1DED">
        <w:t xml:space="preserve"> significantly</w:t>
      </w:r>
      <w:r w:rsidR="00B80783">
        <w:t xml:space="preserve"> (</w:t>
      </w:r>
      <w:r w:rsidR="008A0716">
        <w:t>a median worsening of close to 5 percent of GDP</w:t>
      </w:r>
      <w:r w:rsidR="00B80783">
        <w:t>), with</w:t>
      </w:r>
      <w:r w:rsidR="00186E2D">
        <w:t xml:space="preserve"> part of the decline in international travel revenues offset by other components of the current account balance, as shown in </w:t>
      </w:r>
      <w:r w:rsidR="00BF58B4">
        <w:t xml:space="preserve">Figure x. Specifically, the balance on goods </w:t>
      </w:r>
      <w:r w:rsidR="00897804">
        <w:t xml:space="preserve">showed a median improvement of about </w:t>
      </w:r>
      <w:r w:rsidR="003B7462">
        <w:t xml:space="preserve">2 percent of GDP, reflecting the impact of lower oil prices </w:t>
      </w:r>
      <w:r w:rsidR="00934F56">
        <w:t>(tourism-dependent economies being overwhelmingly oil importers)</w:t>
      </w:r>
      <w:r w:rsidR="00C64E17">
        <w:t xml:space="preserve">, </w:t>
      </w:r>
      <w:r w:rsidR="00934F56">
        <w:t>lower imports of inputs in the tourism business, such as food</w:t>
      </w:r>
      <w:r w:rsidR="00C64E17">
        <w:t>, as well as a sizable decline in domestic demand</w:t>
      </w:r>
      <w:r w:rsidR="00934F56">
        <w:t xml:space="preserve">. </w:t>
      </w:r>
      <w:r w:rsidR="00B63953">
        <w:t xml:space="preserve">The primary income balance, which captures investment income, </w:t>
      </w:r>
      <w:r w:rsidR="00E8360F">
        <w:t xml:space="preserve">also improved, as revenues on foreign-owned tourism infrastructure declined. </w:t>
      </w:r>
      <w:r w:rsidR="00083500">
        <w:t>T</w:t>
      </w:r>
      <w:r w:rsidR="0022713F">
        <w:t>he secondary income balance, which includes workers’ remittances, also showed some improvement, as nominal remittance revenues were resilient</w:t>
      </w:r>
      <w:r w:rsidR="00E36351">
        <w:t xml:space="preserve"> while nominal GDP generally declined. </w:t>
      </w:r>
      <w:r w:rsidR="00411288">
        <w:t>In relative terms, the decline in revenues from tourism was slightly less severe in countries where such revenues accrue primarily during the Northern Hemisphere winter months (such as Australia, Austria, Brazil, New Zealand, Uruguay)</w:t>
      </w:r>
      <w:r w:rsidR="003B28B2">
        <w:t xml:space="preserve">, and hence first-quarter revenues are a larger share of the annual total. </w:t>
      </w:r>
    </w:p>
    <w:p w14:paraId="5FDEB35F" w14:textId="7F8063FB" w:rsidR="00752943" w:rsidRDefault="00640B0C" w:rsidP="00752943">
      <w:r>
        <w:t>The hit of the crisis on net revenues from transportation services was more modest</w:t>
      </w:r>
      <w:r w:rsidR="00FB5B97">
        <w:t xml:space="preserve"> (Figure 3)</w:t>
      </w:r>
      <w:r w:rsidR="008F4527">
        <w:t xml:space="preserve">. </w:t>
      </w:r>
      <w:r w:rsidR="00D90CEB">
        <w:t>While revenues from passenger transportation declined by over 60 percent in nominal US dollar terms in 2020 for the countries providing such data, ot</w:t>
      </w:r>
      <w:r>
        <w:t>her transportation categories, such as shipping and road transportation, were much more resilient</w:t>
      </w:r>
      <w:r w:rsidR="00475DA1">
        <w:t xml:space="preserve">: the overall decline in freight revenues was around </w:t>
      </w:r>
      <w:r>
        <w:t>2 percent</w:t>
      </w:r>
      <w:r w:rsidR="00FA5260">
        <w:t>, and the o</w:t>
      </w:r>
      <w:r>
        <w:t>verall, the decline in nominal revenues and expenditures from transportation services in 2020 was around 15 percent.</w:t>
      </w:r>
    </w:p>
    <w:p w14:paraId="620450D8" w14:textId="54C13147" w:rsidR="0018369E" w:rsidRDefault="008837F0" w:rsidP="00AA3C5F">
      <w:r>
        <w:t>T</w:t>
      </w:r>
      <w:r w:rsidR="00F242FF">
        <w:t>he decline in international travel, t</w:t>
      </w:r>
      <w:r>
        <w:t xml:space="preserve">ogether with much-reduced mobility within countries, led to a </w:t>
      </w:r>
      <w:r w:rsidR="00F242FF">
        <w:t>dramatic decline in oil demand and oil prices in 2020</w:t>
      </w:r>
      <w:r w:rsidR="00FA68C5">
        <w:t>, w</w:t>
      </w:r>
      <w:r w:rsidR="005D0883">
        <w:t xml:space="preserve">ith attendant implications for oil balances, already highlighted above for tourism-dependent oil importers. In Table </w:t>
      </w:r>
      <w:r w:rsidR="0053585D">
        <w:t>6</w:t>
      </w:r>
      <w:r w:rsidR="005D0883">
        <w:t xml:space="preserve"> we </w:t>
      </w:r>
      <w:r w:rsidR="003B6B3E">
        <w:t xml:space="preserve">investigate </w:t>
      </w:r>
      <w:r w:rsidR="00250134">
        <w:t xml:space="preserve">the extent to which the </w:t>
      </w:r>
      <w:r w:rsidR="00FF4B42">
        <w:t xml:space="preserve">dependence on travel revenues and oil </w:t>
      </w:r>
      <w:r w:rsidR="00F81FF6">
        <w:t xml:space="preserve">pre-COVID </w:t>
      </w:r>
      <w:r w:rsidR="00EF336D">
        <w:t xml:space="preserve">can explain </w:t>
      </w:r>
      <w:r w:rsidR="00FF4B42">
        <w:t xml:space="preserve">current account adjustment </w:t>
      </w:r>
      <w:r w:rsidR="00EF336D">
        <w:t>in 2020</w:t>
      </w:r>
      <w:r w:rsidR="00881F27">
        <w:t xml:space="preserve">, defined as the difference between the </w:t>
      </w:r>
      <w:r w:rsidR="00663FCA">
        <w:t>current account in 2020 and its 2015-19 average, both expressed in percent of GDP</w:t>
      </w:r>
      <w:r w:rsidR="006D19BC">
        <w:t>.</w:t>
      </w:r>
      <w:r w:rsidR="00242380">
        <w:t xml:space="preserve"> </w:t>
      </w:r>
      <w:r w:rsidR="00BA799D">
        <w:t>With the exception of column (1) we exclude Kuwait, a big outlier</w:t>
      </w:r>
      <w:r w:rsidR="00961676">
        <w:t xml:space="preserve">, from the regressions. </w:t>
      </w:r>
      <w:r w:rsidR="00961676">
        <w:rPr>
          <w:rStyle w:val="FootnoteReference"/>
        </w:rPr>
        <w:footnoteReference w:id="2"/>
      </w:r>
      <w:r w:rsidR="00470B71">
        <w:t xml:space="preserve"> </w:t>
      </w:r>
      <w:r w:rsidR="0032745D">
        <w:t>We find that</w:t>
      </w:r>
      <w:r w:rsidR="00470B71">
        <w:t xml:space="preserve">, as during the </w:t>
      </w:r>
      <w:r w:rsidR="00DB6A25">
        <w:t xml:space="preserve">2008-2009 financial crisis, there has been a tendency for external current account balances to shrink (see the negative sign on the 2015-19 current account balance). In addition, both the pre-COVID travel balance and the oil balance </w:t>
      </w:r>
      <w:r w:rsidR="009D688B">
        <w:t>are statistically and economically significant</w:t>
      </w:r>
      <w:r w:rsidR="00466983">
        <w:t>, including when we split the sample between advanced economies and emerging and developing economies</w:t>
      </w:r>
      <w:r w:rsidR="009F4031">
        <w:t xml:space="preserve"> (columns </w:t>
      </w:r>
      <w:r w:rsidR="00151367">
        <w:t>3</w:t>
      </w:r>
      <w:r w:rsidR="009F4031">
        <w:t>-</w:t>
      </w:r>
      <w:r w:rsidR="00151367">
        <w:t>4</w:t>
      </w:r>
      <w:r w:rsidR="009F4031">
        <w:t>)</w:t>
      </w:r>
      <w:r w:rsidR="00D27F68">
        <w:t xml:space="preserve">. </w:t>
      </w:r>
    </w:p>
    <w:p w14:paraId="0F2EB9F0" w14:textId="3BC09275" w:rsidR="00AB2D74" w:rsidRDefault="006926B8" w:rsidP="00AA3C5F">
      <w:r>
        <w:t xml:space="preserve">One notable difference between these two groups lies in the size of the coefficient on </w:t>
      </w:r>
      <w:r w:rsidR="003F79B2">
        <w:t xml:space="preserve">the pre-COVID travel balance, which is much higher for advanced economies. One possible explanation of this finding is that </w:t>
      </w:r>
      <w:r w:rsidR="00E05DE1">
        <w:t xml:space="preserve">in advanced economies the import content of net international travel revenues is lower than in emerging and developing economies: </w:t>
      </w:r>
      <w:r w:rsidR="00386AC5">
        <w:t xml:space="preserve">small island economies are more likely to exhibit higher dependence on imported food, energy, and foreign-owned hotel infrastructure. </w:t>
      </w:r>
      <w:r w:rsidR="00D27F68">
        <w:t xml:space="preserve">As shown in columns (4) and (5) the </w:t>
      </w:r>
      <w:r w:rsidR="00E941D1">
        <w:t xml:space="preserve">statistical and economic significance of </w:t>
      </w:r>
      <w:r w:rsidR="00D27F68">
        <w:t xml:space="preserve">the travel balance is driven by countries with positive international travel balances, which—as highlighted </w:t>
      </w:r>
      <w:r w:rsidR="001815B3">
        <w:t xml:space="preserve">above—exhibit much more significant cross-country variation. </w:t>
      </w:r>
      <w:r w:rsidR="00E941D1">
        <w:t xml:space="preserve">In contrast, dependence on oil </w:t>
      </w:r>
      <w:r w:rsidR="00E941D1">
        <w:lastRenderedPageBreak/>
        <w:t>explains subsequent current account adjustment for both oil exporters and oil importers</w:t>
      </w:r>
      <w:r w:rsidR="009F4031">
        <w:t xml:space="preserve"> (</w:t>
      </w:r>
      <w:r w:rsidR="008B50EB">
        <w:t>results available from the author)</w:t>
      </w:r>
      <w:r w:rsidR="00E941D1">
        <w:t xml:space="preserve">. </w:t>
      </w:r>
    </w:p>
    <w:p w14:paraId="5E3A9E2B" w14:textId="324990C0" w:rsidR="002B438B" w:rsidRDefault="00441637" w:rsidP="00441637">
      <w:pPr>
        <w:pStyle w:val="Heading2"/>
      </w:pPr>
      <w:r>
        <w:t>Forecasts</w:t>
      </w:r>
    </w:p>
    <w:p w14:paraId="73612981" w14:textId="7B320A1B" w:rsidR="006655EB" w:rsidRDefault="006655EB" w:rsidP="00441637"/>
    <w:p w14:paraId="49BA94E9" w14:textId="06ABE7A6" w:rsidR="006655EB" w:rsidRPr="00441637" w:rsidRDefault="006655EB" w:rsidP="00441637">
      <w:r w:rsidRPr="007A69EB">
        <w:rPr>
          <w:highlight w:val="yellow"/>
        </w:rPr>
        <w:t>Brief mention of developments in 2021, forecasts for tourism recovery.</w:t>
      </w:r>
      <w:r>
        <w:t xml:space="preserve"> </w:t>
      </w:r>
    </w:p>
    <w:p w14:paraId="78366EBA" w14:textId="77777777" w:rsidR="00441637" w:rsidRDefault="00441637" w:rsidP="002B438B"/>
    <w:p w14:paraId="75673116" w14:textId="1AB2F87F" w:rsidR="002B438B" w:rsidRDefault="002B438B" w:rsidP="002B438B">
      <w:pPr>
        <w:pStyle w:val="Heading1"/>
        <w:jc w:val="center"/>
      </w:pPr>
      <w:r>
        <w:t>Growth and tourism dependence</w:t>
      </w:r>
    </w:p>
    <w:p w14:paraId="5EF3DB54" w14:textId="4C321263" w:rsidR="002B438B" w:rsidRDefault="002B438B" w:rsidP="002B438B"/>
    <w:p w14:paraId="2C34D0EB" w14:textId="36871054" w:rsidR="00355DF3" w:rsidRDefault="00A25E7B" w:rsidP="00266D61">
      <w:r>
        <w:t>Finally, i</w:t>
      </w:r>
      <w:r w:rsidR="002B438B">
        <w:t xml:space="preserve">n this section we explore the extent to which the dependence of a country on tourism revenues helps predict the </w:t>
      </w:r>
      <w:r w:rsidR="0049703F">
        <w:t xml:space="preserve">size of the economic contraction caused by the </w:t>
      </w:r>
      <w:r w:rsidR="002B438B">
        <w:t xml:space="preserve">COVID crisis. </w:t>
      </w:r>
      <w:r w:rsidR="0058129D">
        <w:t>The m</w:t>
      </w:r>
      <w:r w:rsidR="00A5690B">
        <w:t xml:space="preserve">easure of </w:t>
      </w:r>
      <w:r w:rsidR="002B438B">
        <w:t>crisis intensity</w:t>
      </w:r>
      <w:r w:rsidR="009555D4">
        <w:t xml:space="preserve"> we use is </w:t>
      </w:r>
      <w:r w:rsidR="002B438B">
        <w:t>the difference between GDP growth in 2020</w:t>
      </w:r>
      <w:r w:rsidR="00FF268E">
        <w:t>, taken from the April 2021 World Economic Outlook (IMF, 2021</w:t>
      </w:r>
      <w:r w:rsidR="00F31C57">
        <w:t xml:space="preserve">) </w:t>
      </w:r>
      <w:r w:rsidR="002B438B">
        <w:t>and the pre-pandemic growth forecast for the same year</w:t>
      </w:r>
      <w:r w:rsidR="00F31C57">
        <w:t>,</w:t>
      </w:r>
      <w:r w:rsidR="002B438B">
        <w:t xml:space="preserve"> taken from the January 2021 World Economic Outlook update</w:t>
      </w:r>
      <w:r w:rsidR="00F31C57">
        <w:t xml:space="preserve"> (IMF, 2020a</w:t>
      </w:r>
      <w:r w:rsidR="002B438B">
        <w:t>)</w:t>
      </w:r>
      <w:r w:rsidR="009555D4">
        <w:t xml:space="preserve">. </w:t>
      </w:r>
      <w:r w:rsidR="00B262B5">
        <w:t xml:space="preserve">Using the difference in performance compared to forecasts is important in order to control for differences in trend growth across countries. </w:t>
      </w:r>
      <w:r w:rsidR="004C33F5">
        <w:t xml:space="preserve">We rely on the World Economic Outlook given the global coverage of their forecasts, which is essential considering that </w:t>
      </w:r>
      <w:r w:rsidR="005224EA">
        <w:t xml:space="preserve">many of the most affected economies are very small and generally not covered by </w:t>
      </w:r>
      <w:r w:rsidR="00FD7F3D">
        <w:t>other economic forecasts</w:t>
      </w:r>
      <w:r w:rsidR="002B438B">
        <w:t xml:space="preserve">. </w:t>
      </w:r>
    </w:p>
    <w:p w14:paraId="76774F00" w14:textId="77777777" w:rsidR="000E4AF5" w:rsidRDefault="000E4AF5" w:rsidP="002B438B"/>
    <w:p w14:paraId="5CE096E9" w14:textId="4F27C786" w:rsidR="000E4AF5" w:rsidRDefault="000E4AF5" w:rsidP="000E4AF5">
      <w:pPr>
        <w:pStyle w:val="Heading2"/>
        <w:jc w:val="center"/>
      </w:pPr>
      <w:r>
        <w:t xml:space="preserve">The </w:t>
      </w:r>
      <w:r w:rsidR="00355387">
        <w:t xml:space="preserve">Tourism </w:t>
      </w:r>
      <w:r>
        <w:t>Data</w:t>
      </w:r>
    </w:p>
    <w:p w14:paraId="1F0C4A91" w14:textId="77777777" w:rsidR="000E4AF5" w:rsidRPr="000E4AF5" w:rsidRDefault="000E4AF5" w:rsidP="000E4AF5"/>
    <w:p w14:paraId="25D8F2D4" w14:textId="70255645" w:rsidR="00BE01A1" w:rsidRDefault="002B438B" w:rsidP="00C65CBE">
      <w:pPr>
        <w:autoSpaceDE w:val="0"/>
        <w:autoSpaceDN w:val="0"/>
        <w:adjustRightInd w:val="0"/>
        <w:spacing w:after="0" w:line="240" w:lineRule="auto"/>
      </w:pPr>
      <w:r>
        <w:t xml:space="preserve">Our data on tourism dependence come from the </w:t>
      </w:r>
      <w:r w:rsidR="00B625E5">
        <w:t>World Travel and Tourism Council (WTTC)</w:t>
      </w:r>
      <w:r w:rsidR="002779CE">
        <w:t xml:space="preserve">, and is disseminated by the </w:t>
      </w:r>
      <w:r>
        <w:t xml:space="preserve">World Bank. </w:t>
      </w:r>
      <w:r w:rsidR="002779CE">
        <w:t xml:space="preserve">The main variables used in the analysis are the </w:t>
      </w:r>
      <w:r w:rsidR="00403CF8">
        <w:t>direct share of travel and tourism in GDP</w:t>
      </w:r>
      <w:r w:rsidR="000302DA">
        <w:t xml:space="preserve"> (which </w:t>
      </w:r>
      <w:r w:rsidR="00B30C87">
        <w:t>is an estimate of the value added accounted for by the tourism sector)</w:t>
      </w:r>
      <w:r w:rsidR="00403CF8">
        <w:t xml:space="preserve"> and </w:t>
      </w:r>
      <w:r w:rsidR="00575EF9">
        <w:t xml:space="preserve">the </w:t>
      </w:r>
      <w:r w:rsidR="000302DA">
        <w:t xml:space="preserve">total </w:t>
      </w:r>
      <w:r w:rsidR="00403CF8">
        <w:t>share (which also takes into account</w:t>
      </w:r>
      <w:r w:rsidR="000302DA">
        <w:t xml:space="preserve"> linkages between travel and tourism and other sectors</w:t>
      </w:r>
      <w:r w:rsidR="00403CF8">
        <w:t xml:space="preserve">). </w:t>
      </w:r>
      <w:r w:rsidR="008F3DD4">
        <w:t xml:space="preserve">The methodology </w:t>
      </w:r>
      <w:r w:rsidR="007D0EDE">
        <w:t>used to construct these var</w:t>
      </w:r>
      <w:r w:rsidR="00DF439B">
        <w:t>i</w:t>
      </w:r>
      <w:r w:rsidR="007D0EDE">
        <w:t xml:space="preserve">ables </w:t>
      </w:r>
      <w:r w:rsidR="008F3DD4">
        <w:t xml:space="preserve">is explained in </w:t>
      </w:r>
      <w:r w:rsidR="008B6D97">
        <w:t xml:space="preserve">detail in </w:t>
      </w:r>
      <w:r w:rsidR="008F3DD4">
        <w:t>WTTC/Oxford Economics (2020</w:t>
      </w:r>
      <w:r w:rsidR="00245252">
        <w:t>, 2021</w:t>
      </w:r>
      <w:r w:rsidR="008F3DD4">
        <w:t xml:space="preserve">). </w:t>
      </w:r>
    </w:p>
    <w:p w14:paraId="049737B2" w14:textId="77777777" w:rsidR="00BE01A1" w:rsidRDefault="00BE01A1" w:rsidP="00C65CBE">
      <w:pPr>
        <w:autoSpaceDE w:val="0"/>
        <w:autoSpaceDN w:val="0"/>
        <w:adjustRightInd w:val="0"/>
        <w:spacing w:after="0" w:line="240" w:lineRule="auto"/>
      </w:pPr>
    </w:p>
    <w:p w14:paraId="248CD9FE" w14:textId="488DA349" w:rsidR="00883F64" w:rsidRDefault="007D0EDE" w:rsidP="00CE41F2">
      <w:pPr>
        <w:autoSpaceDE w:val="0"/>
        <w:autoSpaceDN w:val="0"/>
        <w:adjustRightInd w:val="0"/>
        <w:spacing w:after="0" w:line="240" w:lineRule="auto"/>
      </w:pPr>
      <w:r>
        <w:t xml:space="preserve">In summary, the direct share measure </w:t>
      </w:r>
      <w:r w:rsidR="00CF014A">
        <w:t>is</w:t>
      </w:r>
      <w:r w:rsidR="0036138D">
        <w:t xml:space="preserve"> estimated by first constructing expenditure measures </w:t>
      </w:r>
      <w:r w:rsidR="00FE090E">
        <w:t>directed to sectors producing travel and tourism services (</w:t>
      </w:r>
      <w:r w:rsidR="00527758">
        <w:t xml:space="preserve">such as </w:t>
      </w:r>
      <w:r w:rsidR="00DF439B">
        <w:t>accommodation, transportation, entertainment, and attractions)</w:t>
      </w:r>
      <w:r w:rsidR="008A73AD">
        <w:t xml:space="preserve">, and subsequently using input-output matrices to subtract </w:t>
      </w:r>
      <w:r w:rsidR="0094597A">
        <w:t>domestic purchases</w:t>
      </w:r>
      <w:r>
        <w:t xml:space="preserve"> </w:t>
      </w:r>
      <w:r w:rsidR="0094597A">
        <w:t xml:space="preserve">and imported inputs by these sectors. </w:t>
      </w:r>
      <w:r w:rsidR="00CF014A">
        <w:t xml:space="preserve">The </w:t>
      </w:r>
      <w:r w:rsidR="00F03404">
        <w:t xml:space="preserve">more comprehensive “total” </w:t>
      </w:r>
      <w:r w:rsidR="00CF014A">
        <w:t xml:space="preserve">measure also includes </w:t>
      </w:r>
      <w:r w:rsidR="00983C85">
        <w:t xml:space="preserve">travel and tourism investment spending, </w:t>
      </w:r>
      <w:r w:rsidR="00C65CBE">
        <w:t xml:space="preserve">government “collective” spending also benefiting the tourism industry, and </w:t>
      </w:r>
      <w:r w:rsidR="00DF36CD">
        <w:t>d</w:t>
      </w:r>
      <w:r w:rsidR="00C65CBE" w:rsidRPr="00C65CBE">
        <w:t>omestic (non-imported) supply chain purchases of goods and services by the sectors</w:t>
      </w:r>
      <w:r w:rsidR="009630C0">
        <w:t xml:space="preserve"> </w:t>
      </w:r>
      <w:r w:rsidR="00CE41F2">
        <w:t>producing travel and tourism services. The construction of the data make</w:t>
      </w:r>
      <w:r w:rsidR="00665EBE">
        <w:t>s</w:t>
      </w:r>
      <w:r w:rsidR="00CE41F2">
        <w:t xml:space="preserve"> use, where possible, of the so-called Tourism Satellite Accounts (TSA), which</w:t>
      </w:r>
      <w:r w:rsidR="00B463D9">
        <w:t xml:space="preserve"> include </w:t>
      </w:r>
      <w:r w:rsidR="00D30282">
        <w:t>m</w:t>
      </w:r>
      <w:r w:rsidR="00D30282" w:rsidRPr="00D30282">
        <w:t>acroeconomic aggregates describ</w:t>
      </w:r>
      <w:r w:rsidR="003362FB">
        <w:t xml:space="preserve">ing </w:t>
      </w:r>
      <w:r w:rsidR="00D30282" w:rsidRPr="00D30282">
        <w:t>size and the direct economic</w:t>
      </w:r>
      <w:r w:rsidR="003362FB">
        <w:t xml:space="preserve"> </w:t>
      </w:r>
      <w:r w:rsidR="00D30282" w:rsidRPr="00D30282">
        <w:t>contribution of tourism,</w:t>
      </w:r>
      <w:r w:rsidR="003362FB">
        <w:t xml:space="preserve"> d</w:t>
      </w:r>
      <w:r w:rsidR="00D30282" w:rsidRPr="00D30282">
        <w:t xml:space="preserve">etailed data on tourism consumption, </w:t>
      </w:r>
      <w:r w:rsidR="00511DDC">
        <w:t>and d</w:t>
      </w:r>
      <w:r w:rsidR="00D30282" w:rsidRPr="00D30282">
        <w:t>etailed production accounts of the tourism industries</w:t>
      </w:r>
      <w:r w:rsidR="00511DDC">
        <w:t xml:space="preserve"> </w:t>
      </w:r>
      <w:r w:rsidR="00883F64">
        <w:t>(United Na</w:t>
      </w:r>
      <w:r w:rsidR="008C0F6D">
        <w:t>ti</w:t>
      </w:r>
      <w:r w:rsidR="00883F64">
        <w:t>ons, 2008)</w:t>
      </w:r>
    </w:p>
    <w:p w14:paraId="4AB83702" w14:textId="1B1E9238" w:rsidR="008F3DD4" w:rsidRDefault="008F3DD4" w:rsidP="00CE41F2">
      <w:pPr>
        <w:autoSpaceDE w:val="0"/>
        <w:autoSpaceDN w:val="0"/>
        <w:adjustRightInd w:val="0"/>
        <w:spacing w:after="0" w:line="240" w:lineRule="auto"/>
      </w:pPr>
    </w:p>
    <w:p w14:paraId="3C1A0AA1" w14:textId="7FB47A6F" w:rsidR="00B32E49" w:rsidRDefault="00C216B4" w:rsidP="002B438B">
      <w:r>
        <w:lastRenderedPageBreak/>
        <w:t xml:space="preserve">Panel A </w:t>
      </w:r>
      <w:r w:rsidR="008E47EF">
        <w:t xml:space="preserve">Table </w:t>
      </w:r>
      <w:r w:rsidR="00443886">
        <w:t>7</w:t>
      </w:r>
      <w:r w:rsidR="008E47EF">
        <w:t xml:space="preserve"> provides some summary statistics on the two tourism-related variables.</w:t>
      </w:r>
      <w:r w:rsidR="004E1E39">
        <w:rPr>
          <w:rStyle w:val="FootnoteReference"/>
        </w:rPr>
        <w:footnoteReference w:id="3"/>
      </w:r>
      <w:r w:rsidR="008E47EF">
        <w:t xml:space="preserve"> </w:t>
      </w:r>
      <w:r w:rsidR="00D676C4">
        <w:t xml:space="preserve">The median direct share of GDP is around </w:t>
      </w:r>
      <w:r w:rsidR="00117394">
        <w:t xml:space="preserve">3.5 percent for both advanced and emerging and developing economies, </w:t>
      </w:r>
      <w:r w:rsidR="002B4168">
        <w:t>while the total share is notably higher, with a median around 9</w:t>
      </w:r>
      <w:r w:rsidR="009F7A90">
        <w:t xml:space="preserve">.5 </w:t>
      </w:r>
      <w:r w:rsidR="002B4168">
        <w:t xml:space="preserve">percent of GDP.  </w:t>
      </w:r>
      <w:r w:rsidR="007F550C">
        <w:t xml:space="preserve">Among advanced economies, </w:t>
      </w:r>
      <w:r w:rsidR="009A249E">
        <w:t xml:space="preserve">10 have a direct share of tourism in GDP exceeding 5 percent: Austria, Cyprus, Greece, </w:t>
      </w:r>
      <w:r w:rsidR="00EC3126">
        <w:t xml:space="preserve">Iceland, </w:t>
      </w:r>
      <w:r w:rsidR="009A249E">
        <w:t>Italy,</w:t>
      </w:r>
      <w:r w:rsidR="00EC3126">
        <w:t xml:space="preserve"> Macao, Malta, New Zealand, Portugal, and Spain. </w:t>
      </w:r>
      <w:r w:rsidR="00B2623C">
        <w:t xml:space="preserve">For emerging and developing economies, </w:t>
      </w:r>
      <w:r w:rsidR="00F31C03">
        <w:t xml:space="preserve">there are </w:t>
      </w:r>
      <w:r w:rsidR="000044C8">
        <w:t xml:space="preserve">42 with a share of tourism exceeding 5 percent, and 17 with a share exceeding 10 percent—the latter being all countries </w:t>
      </w:r>
      <w:r w:rsidR="00675448">
        <w:t xml:space="preserve">listed in Table 1 as having a large international travel surplus. </w:t>
      </w:r>
      <w:r w:rsidR="00073E8F">
        <w:t>Indeed, t</w:t>
      </w:r>
      <w:r w:rsidR="00B32E49">
        <w:t xml:space="preserve">he measures of </w:t>
      </w:r>
      <w:r w:rsidR="004B0E72">
        <w:t xml:space="preserve">the share of GDP accounted for by tourism-related activities are strongly correlated with the </w:t>
      </w:r>
      <w:r w:rsidR="007558E6">
        <w:t xml:space="preserve">average surplus on the international travel balance (the correlation is 0.85). </w:t>
      </w:r>
    </w:p>
    <w:p w14:paraId="49C9E5FD" w14:textId="37103A1E" w:rsidR="004D1E9C" w:rsidRDefault="004D1E9C" w:rsidP="002B438B"/>
    <w:p w14:paraId="576BEB29" w14:textId="014FDD70" w:rsidR="00355387" w:rsidRDefault="00355387" w:rsidP="00355387">
      <w:pPr>
        <w:pStyle w:val="Heading2"/>
      </w:pPr>
      <w:r>
        <w:t>Growth regressions</w:t>
      </w:r>
    </w:p>
    <w:p w14:paraId="6FEEBBA5" w14:textId="77777777" w:rsidR="00355387" w:rsidRPr="00355387" w:rsidRDefault="00355387" w:rsidP="00355387"/>
    <w:p w14:paraId="042C805A" w14:textId="01C8CBEA" w:rsidR="00355387" w:rsidRDefault="002664D4" w:rsidP="00355387">
      <w:r>
        <w:t xml:space="preserve">We now examine the extent to which the dependence of economies on tourism can help explain growth performance </w:t>
      </w:r>
      <w:r w:rsidR="00592C62">
        <w:t xml:space="preserve">during 2020. To control for underlying trends in growth and to focus squarely on the impact of the COVID pandemic, </w:t>
      </w:r>
      <w:r w:rsidR="0011291C">
        <w:t>we use as dependent variable the “growth surprise” in 2020 relative to the January 2020 growth forecast of the World Economic Outlook</w:t>
      </w:r>
      <w:r w:rsidR="00E11301">
        <w:t xml:space="preserve"> (which given its timing did not incorporate any consequence of the COVID pandemic). </w:t>
      </w:r>
      <w:r w:rsidR="00355387">
        <w:t xml:space="preserve">We exclude from the sample as well as from subsequent regressions a few countries affected by economic stress and political strife, where growth performance can be very volatile and unpredictable. Those include </w:t>
      </w:r>
      <w:r w:rsidR="001D2047">
        <w:t xml:space="preserve">Iran, </w:t>
      </w:r>
      <w:r w:rsidR="00355387">
        <w:t xml:space="preserve">Lebanon, Libya, Sudan, Venezuela, and Yemen. In addition we exclude Guyana, a massive outlier, where both the growth forecast for 2020 (85 percent) and the growth outcome (43 percent) are related to the uncertain timing of new oil-producing activity. </w:t>
      </w:r>
    </w:p>
    <w:p w14:paraId="697F2DF9" w14:textId="69EDCC28" w:rsidR="00AC6808" w:rsidRDefault="004D1E9C" w:rsidP="00A84C74">
      <w:r>
        <w:t>Summary statistics for the “growth surprise” are presented in Panel B of Table 7</w:t>
      </w:r>
      <w:r w:rsidR="00433DA6">
        <w:t xml:space="preserve">, for all countries (including the split between advanced economies and emerging and developing economies) </w:t>
      </w:r>
      <w:r w:rsidR="00B6508F">
        <w:t>as well as separating out countries with high net revenues from tourism.</w:t>
      </w:r>
      <w:r w:rsidR="00047979">
        <w:rPr>
          <w:rStyle w:val="FootnoteReference"/>
        </w:rPr>
        <w:footnoteReference w:id="4"/>
      </w:r>
      <w:r w:rsidR="008C3DCF">
        <w:t xml:space="preserve"> These statistics highlight </w:t>
      </w:r>
      <w:r w:rsidR="00E7100A">
        <w:t xml:space="preserve">how severe and widespread the global downturn was, </w:t>
      </w:r>
      <w:r w:rsidR="00331020">
        <w:t>and especially so for countries more dependent on tourism, with a median growth shock exceeding 12 p</w:t>
      </w:r>
      <w:r w:rsidR="000B45A6">
        <w:t>ercentage points of GDP, almost twice as large as for the remaining economies.</w:t>
      </w:r>
      <w:r w:rsidR="005252DF">
        <w:t xml:space="preserve"> </w:t>
      </w:r>
      <w:r w:rsidR="00AC6808">
        <w:t>Figure 4 shows a scatter plot of the 2020 growth surprise and the total share of tourism in GDP. The correlation is -0.72. Excluding the three most extreme observations (Macao</w:t>
      </w:r>
      <w:r w:rsidR="00A84C74">
        <w:t xml:space="preserve"> SAR</w:t>
      </w:r>
      <w:r w:rsidR="00AC6808">
        <w:t xml:space="preserve">, Maldives, and Aruba, which are anyway excluded from most regressions </w:t>
      </w:r>
      <w:r w:rsidR="00A84C74">
        <w:t xml:space="preserve">below </w:t>
      </w:r>
      <w:r w:rsidR="00AC6808">
        <w:t>because they lack observations for one or more of the explanatory variables) reduces the correlation to</w:t>
      </w:r>
      <w:r w:rsidR="00A84C74">
        <w:t xml:space="preserve"> -</w:t>
      </w:r>
      <w:r w:rsidR="00AC6808">
        <w:t xml:space="preserve">0.6. Even after excluding all countries with a total share of tourism exceeding 20 percent the correlation is still -0.3. </w:t>
      </w:r>
    </w:p>
    <w:p w14:paraId="7C86127E" w14:textId="7579C369" w:rsidR="00952FF1" w:rsidRDefault="00F31C57" w:rsidP="002B438B">
      <w:r>
        <w:t xml:space="preserve">In addition to the </w:t>
      </w:r>
      <w:r w:rsidR="00E04C6A">
        <w:t xml:space="preserve">dependence on travel and tourism, we use a number of other potential explanatory variables. Two relate directly to the intensity of the pandemic: the number of recorded cases in 2020 </w:t>
      </w:r>
      <w:r w:rsidR="00C4028C">
        <w:t xml:space="preserve">(as a share of total population) and the number of recorded deaths attributed to COVID-19 (also scaled by total population size). </w:t>
      </w:r>
      <w:r w:rsidR="00515255">
        <w:t>A third variable, the stringency of lockdown measures</w:t>
      </w:r>
      <w:r w:rsidR="00BE4FC0">
        <w:t>, constructed at Oxford University</w:t>
      </w:r>
      <w:r w:rsidR="007576B3">
        <w:t xml:space="preserve"> (Richie et al, 2020) </w:t>
      </w:r>
      <w:r w:rsidR="00515255">
        <w:t xml:space="preserve">relates instead to the government response to the pandemic. </w:t>
      </w:r>
      <w:r w:rsidR="007D4AD8">
        <w:rPr>
          <w:rStyle w:val="FootnoteReference"/>
        </w:rPr>
        <w:footnoteReference w:id="5"/>
      </w:r>
      <w:r w:rsidR="00317572">
        <w:t xml:space="preserve">While stringency is clearly correlated with the severity of the pandemic, </w:t>
      </w:r>
      <w:r w:rsidR="00761FC6">
        <w:t xml:space="preserve">the objective here is only to assess the extent to which </w:t>
      </w:r>
      <w:r w:rsidR="00CF1CE8">
        <w:t xml:space="preserve">government restrictions correlate with a </w:t>
      </w:r>
      <w:r w:rsidR="00CF1CE8">
        <w:lastRenderedPageBreak/>
        <w:t xml:space="preserve">decline in economic activity for a given severity of the pandemic. </w:t>
      </w:r>
      <w:r w:rsidR="00BF0999">
        <w:t xml:space="preserve">Among the other explanatory variables we consider are the level of development </w:t>
      </w:r>
      <w:r w:rsidR="000F1D19">
        <w:t>(potentially a proxy f</w:t>
      </w:r>
      <w:r w:rsidR="00816AD9">
        <w:t xml:space="preserve">or quality of health care), population size, </w:t>
      </w:r>
      <w:r w:rsidR="002F4DE7">
        <w:t xml:space="preserve">and variables related to the composition of output such as the share of manufacturing and agriculture in value added. </w:t>
      </w:r>
      <w:r w:rsidR="00A32412">
        <w:t xml:space="preserve">We expect these last two variables to be positively correlated with the growth shock in 2020, given the resilience of these sectors compared to the most affected services sector. </w:t>
      </w:r>
    </w:p>
    <w:p w14:paraId="79B210BE" w14:textId="752D44FA" w:rsidR="00B2602B" w:rsidRDefault="00B2602B" w:rsidP="002B438B">
      <w:r>
        <w:t xml:space="preserve">The first column of table </w:t>
      </w:r>
      <w:r w:rsidR="00443886">
        <w:t>8</w:t>
      </w:r>
      <w:r w:rsidR="00F14B13">
        <w:t xml:space="preserve"> shows that </w:t>
      </w:r>
      <w:r w:rsidR="00CB07C0">
        <w:t xml:space="preserve">by themselves the measures of severity of the pandemic and stringency explain a very small fraction of the cross-country variance in </w:t>
      </w:r>
      <w:r w:rsidR="00484CE4">
        <w:t>growth surprises, with only stringency reaching statistical significance. However, as shown in column (2), adding the share of tourism in GDP increase</w:t>
      </w:r>
      <w:r w:rsidR="0081244A">
        <w:t xml:space="preserve">s </w:t>
      </w:r>
      <w:r w:rsidR="00484CE4">
        <w:t>the explanatory power dramatically</w:t>
      </w:r>
      <w:r w:rsidR="003C38E7">
        <w:t xml:space="preserve">, with the variables now explaining about half of the cross-country heterogeneity in growth performance. </w:t>
      </w:r>
      <w:r w:rsidR="00BC4DF4">
        <w:t xml:space="preserve">It is notable that </w:t>
      </w:r>
      <w:r w:rsidR="00E14771">
        <w:t xml:space="preserve">once the share of tourism is included </w:t>
      </w:r>
      <w:r w:rsidR="00BC4DF4">
        <w:t xml:space="preserve">the </w:t>
      </w:r>
      <w:r w:rsidR="003F6D74">
        <w:t xml:space="preserve">severity of the pandemic, as measured by the number of reported COVID-related deaths, becomes </w:t>
      </w:r>
      <w:r w:rsidR="00E14771">
        <w:t xml:space="preserve">statistically </w:t>
      </w:r>
      <w:r w:rsidR="003F6D74">
        <w:t xml:space="preserve">significant. </w:t>
      </w:r>
      <w:r w:rsidR="0081244A">
        <w:t>In column (3) we add GDP per capita and population in 2019 (both in log form) to the set of explanatory variables</w:t>
      </w:r>
      <w:r w:rsidR="00A91AED">
        <w:t xml:space="preserve">: only the latter variable is borderline significant, suggesting that </w:t>
      </w:r>
      <w:r w:rsidR="005F6A0E">
        <w:t xml:space="preserve">countries with larger populations experienced less severe growth deviations. </w:t>
      </w:r>
    </w:p>
    <w:p w14:paraId="5B1214C8" w14:textId="5F842742" w:rsidR="00952FF1" w:rsidRDefault="005F6A0E" w:rsidP="002B438B">
      <w:r>
        <w:t xml:space="preserve">Column (4) adds two </w:t>
      </w:r>
      <w:r w:rsidR="00952FF1">
        <w:t xml:space="preserve">additional variables relate to the sectoral composition of economic activity: the share of agriculture in total value added and the share of manufacturing in value added (both calculated as averages over the period 2014-19). </w:t>
      </w:r>
      <w:r w:rsidR="005015B8">
        <w:t xml:space="preserve">Both variables are </w:t>
      </w:r>
      <w:r w:rsidR="004B508F">
        <w:t>positively associated with 2020 growth outcomes relative to pre-crisis forecasts</w:t>
      </w:r>
      <w:r w:rsidR="001872AC">
        <w:t>, providing further evidence on the importance of the sectoral composition of output in explaining the cross-country impact of the COVID crisis</w:t>
      </w:r>
      <w:r w:rsidR="00515255">
        <w:t xml:space="preserve">. </w:t>
      </w:r>
      <w:r w:rsidR="001872AC">
        <w:rPr>
          <w:rStyle w:val="FootnoteReference"/>
        </w:rPr>
        <w:footnoteReference w:id="6"/>
      </w:r>
    </w:p>
    <w:p w14:paraId="332A050F" w14:textId="7BD76E7A" w:rsidR="00C37083" w:rsidRDefault="00594E99" w:rsidP="002B438B">
      <w:r>
        <w:t xml:space="preserve">Table </w:t>
      </w:r>
      <w:r w:rsidR="00443886">
        <w:t>9</w:t>
      </w:r>
      <w:r>
        <w:t xml:space="preserve"> looks at the robustness of results using different sub-samples as well as different measures of the dependence on tourism. </w:t>
      </w:r>
      <w:r w:rsidR="007A39FE">
        <w:t>Column (1) replicates the baseline regression presented in column (4)</w:t>
      </w:r>
      <w:r w:rsidR="002C50AF">
        <w:t xml:space="preserve">, while columns (2) and (3) provide results using the sample of advanced economies and emerging and developing economies respectively. </w:t>
      </w:r>
      <w:r w:rsidR="001A4F7D">
        <w:t>It is interesting to note that for advanced economies the severity of the pandemic</w:t>
      </w:r>
      <w:r w:rsidR="003E30E4">
        <w:t xml:space="preserve">, captured by the number of deaths scaled by population, is statistically significant and precisely estimated, </w:t>
      </w:r>
      <w:r w:rsidR="009B187D">
        <w:t xml:space="preserve">while the stringency index is not significant after controlling for deaths. In contrast, for emerging and developing economies, where arguably the measurement of cases and deaths is </w:t>
      </w:r>
      <w:r w:rsidR="006214D3">
        <w:t xml:space="preserve">less precise, the </w:t>
      </w:r>
      <w:r w:rsidR="004864E8">
        <w:t xml:space="preserve">coefficient on deaths is less precisely estimated </w:t>
      </w:r>
      <w:r w:rsidR="002D617C">
        <w:t xml:space="preserve">and is not statistically significant, while the stringency index is highly significant. </w:t>
      </w:r>
    </w:p>
    <w:p w14:paraId="190B65DA" w14:textId="7AF76E98" w:rsidR="003A2610" w:rsidRDefault="00524FBE" w:rsidP="002B438B">
      <w:r>
        <w:t>Columns (4)</w:t>
      </w:r>
      <w:r w:rsidR="008C28D6">
        <w:t xml:space="preserve">-(7) </w:t>
      </w:r>
      <w:r>
        <w:t>show the robustness of results to the use of alternative measures of the importance of tourism</w:t>
      </w:r>
      <w:r w:rsidR="008C28D6">
        <w:t>, as well as sample size</w:t>
      </w:r>
      <w:r w:rsidR="0034490E">
        <w:t>. Column</w:t>
      </w:r>
      <w:r w:rsidR="008C28D6">
        <w:t>s</w:t>
      </w:r>
      <w:r w:rsidR="0034490E">
        <w:t xml:space="preserve"> (4)</w:t>
      </w:r>
      <w:r w:rsidR="008C28D6">
        <w:t>-(6)</w:t>
      </w:r>
      <w:r w:rsidR="0034490E">
        <w:t xml:space="preserve"> uses the </w:t>
      </w:r>
      <w:r>
        <w:t>direct share in GDP</w:t>
      </w:r>
      <w:r w:rsidR="00C37083">
        <w:t>. In column (4)</w:t>
      </w:r>
      <w:r w:rsidR="0034490E">
        <w:t xml:space="preserve"> the coefficients and fit of the regressions are virtually unchanged, the only difference being the size of the tourism coefficient</w:t>
      </w:r>
      <w:r w:rsidR="00971C5E">
        <w:t xml:space="preserve">, which not surprisingly is much higher for the direct share of tourism </w:t>
      </w:r>
      <w:r w:rsidR="003F6EBC">
        <w:t xml:space="preserve">(which is </w:t>
      </w:r>
      <w:r w:rsidR="00C72AF1">
        <w:t xml:space="preserve">some 37 percent of the total share). Column (5) </w:t>
      </w:r>
      <w:r w:rsidR="00C37083">
        <w:t xml:space="preserve">excludes economies with a direct share of tourism above 10 percent of GDP. </w:t>
      </w:r>
      <w:r w:rsidR="00EA10B8">
        <w:t>Result</w:t>
      </w:r>
      <w:r w:rsidR="00424208">
        <w:t xml:space="preserve">s are robust, but not surprisingly the fit of the regression diminishes, as the most affected countries are excluded. </w:t>
      </w:r>
      <w:r w:rsidR="009B4F98">
        <w:t xml:space="preserve">Column (6) excludes all economies with a direct share of tourism above 5 percent of GDP </w:t>
      </w:r>
      <w:r w:rsidR="000A0851">
        <w:t>(which, as mentioned earlier in this section, will exclude economies such as Italy and Spain</w:t>
      </w:r>
      <w:r w:rsidR="00363FD9">
        <w:t>, for a total of 39 observations</w:t>
      </w:r>
      <w:r w:rsidR="000A0851">
        <w:t xml:space="preserve">). </w:t>
      </w:r>
      <w:r w:rsidR="00606713">
        <w:t xml:space="preserve">In this case the coefficient on tourism drops in magnitude and is no longer statistically significant. </w:t>
      </w:r>
      <w:r w:rsidR="00A6457E">
        <w:t xml:space="preserve">Finally, Column (7) </w:t>
      </w:r>
      <w:r w:rsidR="00C72AF1">
        <w:t>shows that the</w:t>
      </w:r>
      <w:r w:rsidR="00426C69">
        <w:t xml:space="preserve"> net international travel revenues also provide </w:t>
      </w:r>
      <w:r w:rsidR="00066EE4">
        <w:t xml:space="preserve">strong explanatory power if the GDP share of tourism is </w:t>
      </w:r>
      <w:r w:rsidR="00066EE4">
        <w:lastRenderedPageBreak/>
        <w:t>excluded, but not surprisingly the latter variabl</w:t>
      </w:r>
      <w:r w:rsidR="00612E91">
        <w:t>e</w:t>
      </w:r>
      <w:r w:rsidR="00690EFD">
        <w:t>—which also takes into account purely domestic tourism-related activities</w:t>
      </w:r>
      <w:r w:rsidR="00240C30">
        <w:t>--</w:t>
      </w:r>
      <w:r w:rsidR="00690EFD">
        <w:t>raises the fit of the regression</w:t>
      </w:r>
      <w:r w:rsidR="00240C30">
        <w:t xml:space="preserve">. </w:t>
      </w:r>
      <w:r w:rsidR="00612E91">
        <w:t xml:space="preserve"> </w:t>
      </w:r>
    </w:p>
    <w:p w14:paraId="55D8042A" w14:textId="6AA4AA1E" w:rsidR="002B438B" w:rsidRDefault="004F64A2" w:rsidP="002B438B">
      <w:r w:rsidRPr="009D4AAF">
        <w:rPr>
          <w:highlight w:val="yellow"/>
        </w:rPr>
        <w:t>DISCUSS THE IMPORTANCE OF PANDEMIC-RELATED VARIABLES VS OTHER VARIABLES (</w:t>
      </w:r>
      <w:r w:rsidR="00881117" w:rsidRPr="009D4AAF">
        <w:rPr>
          <w:highlight w:val="yellow"/>
        </w:rPr>
        <w:t xml:space="preserve">DEPENDENCE ON TRAVEL, OIL…). </w:t>
      </w:r>
      <w:r w:rsidR="00B446D0" w:rsidRPr="009D4AAF">
        <w:rPr>
          <w:highlight w:val="yellow"/>
        </w:rPr>
        <w:t xml:space="preserve"> REFER TO IMPORTANCE OF THE SECTORAL COMPOSITION OF OUTPUT – CITE WEO CHAPTERS.</w:t>
      </w:r>
      <w:r w:rsidR="00B446D0">
        <w:t xml:space="preserve"> </w:t>
      </w:r>
    </w:p>
    <w:p w14:paraId="2887A96F" w14:textId="3A9EFA88" w:rsidR="002B438B" w:rsidRPr="002B438B" w:rsidRDefault="002B438B" w:rsidP="002B438B">
      <w:pPr>
        <w:pStyle w:val="Heading1"/>
        <w:jc w:val="center"/>
      </w:pPr>
      <w:r>
        <w:t>Concluding Remarks</w:t>
      </w:r>
    </w:p>
    <w:p w14:paraId="07154D0F" w14:textId="77777777" w:rsidR="008A0A3E" w:rsidRDefault="008A0A3E" w:rsidP="004E2D19"/>
    <w:p w14:paraId="4FDA4A47" w14:textId="7DC7E2AC" w:rsidR="008A0A3E" w:rsidRDefault="008A0A3E" w:rsidP="004E2D19">
      <w:r>
        <w:t xml:space="preserve">We have shown how the unprecedented “travel shock” triggered by the COVID pandemic had sizable repercussions on growth and the balance of payments in countries relying on tourism. </w:t>
      </w:r>
    </w:p>
    <w:p w14:paraId="1FD5FAA0" w14:textId="373991E6" w:rsidR="00E53673" w:rsidRDefault="004E2D19" w:rsidP="004E2D19">
      <w:r>
        <w:t xml:space="preserve"> </w:t>
      </w:r>
      <w:r w:rsidR="00903566">
        <w:t>TO BE COMPLETED</w:t>
      </w:r>
      <w:r w:rsidR="004F4DF5">
        <w:t xml:space="preserve"> </w:t>
      </w:r>
      <w:r>
        <w:br/>
      </w:r>
    </w:p>
    <w:p w14:paraId="369EF687" w14:textId="77777777" w:rsidR="00E53673" w:rsidRDefault="00E53673">
      <w:r>
        <w:br w:type="page"/>
      </w:r>
    </w:p>
    <w:p w14:paraId="4087DD17" w14:textId="4608F65A" w:rsidR="003B138D" w:rsidRDefault="00E53673" w:rsidP="00E53673">
      <w:pPr>
        <w:jc w:val="center"/>
      </w:pPr>
      <w:r>
        <w:lastRenderedPageBreak/>
        <w:t>Appendix</w:t>
      </w:r>
    </w:p>
    <w:p w14:paraId="60DFB6DB" w14:textId="0176D970" w:rsidR="00E53673" w:rsidRDefault="00E53673" w:rsidP="00E53673">
      <w:pPr>
        <w:jc w:val="center"/>
      </w:pPr>
    </w:p>
    <w:p w14:paraId="4780440D" w14:textId="15F7311C" w:rsidR="00E53673" w:rsidRDefault="00E53673" w:rsidP="00472106">
      <w:pPr>
        <w:jc w:val="center"/>
      </w:pPr>
      <w:r>
        <w:t>List of variables: definitions and sources</w:t>
      </w:r>
    </w:p>
    <w:p w14:paraId="56055953" w14:textId="77777777" w:rsidR="00472106" w:rsidRDefault="00472106" w:rsidP="00472106"/>
    <w:p w14:paraId="4723CBAC" w14:textId="16407985" w:rsidR="00472106" w:rsidRDefault="00472106" w:rsidP="00472106">
      <w:r w:rsidRPr="000C4C82">
        <w:rPr>
          <w:b/>
          <w:bCs/>
        </w:rPr>
        <w:t>Current account balance</w:t>
      </w:r>
      <w:r w:rsidR="00AC6C67" w:rsidRPr="000C4C82">
        <w:rPr>
          <w:b/>
          <w:bCs/>
        </w:rPr>
        <w:t>; exports and imports of total services; exports and imports of travel services; exports and imports of transport services; exports and imports of goods; primary income balance; secondary income balance</w:t>
      </w:r>
      <w:r>
        <w:t xml:space="preserve">: </w:t>
      </w:r>
      <w:r w:rsidR="00336A96">
        <w:t xml:space="preserve">source: </w:t>
      </w:r>
      <w:r>
        <w:t xml:space="preserve">IMF, Balance of Payments Statistics and national sources. </w:t>
      </w:r>
    </w:p>
    <w:p w14:paraId="42828DCD" w14:textId="6DDF7D28" w:rsidR="00336A96" w:rsidRDefault="00336A96" w:rsidP="00472106">
      <w:r w:rsidRPr="000C4C82">
        <w:rPr>
          <w:b/>
          <w:bCs/>
        </w:rPr>
        <w:t>Oil balance</w:t>
      </w:r>
      <w:r>
        <w:t xml:space="preserve">: source: </w:t>
      </w:r>
      <w:r w:rsidR="00915774">
        <w:t xml:space="preserve">IMF, </w:t>
      </w:r>
      <w:r>
        <w:t>World Economic Outlook</w:t>
      </w:r>
      <w:r w:rsidR="00915774">
        <w:t xml:space="preserve"> database. </w:t>
      </w:r>
    </w:p>
    <w:p w14:paraId="32B90E5E" w14:textId="18D4CEA2" w:rsidR="00B47A72" w:rsidRDefault="00915774" w:rsidP="00E53673">
      <w:r w:rsidRPr="000C4C82">
        <w:rPr>
          <w:b/>
          <w:bCs/>
        </w:rPr>
        <w:t>Nominal GDP in US dollars</w:t>
      </w:r>
      <w:r w:rsidR="00B47A72" w:rsidRPr="000C4C82">
        <w:rPr>
          <w:b/>
          <w:bCs/>
        </w:rPr>
        <w:t>, r</w:t>
      </w:r>
      <w:r w:rsidR="00E307E5" w:rsidRPr="000C4C82">
        <w:rPr>
          <w:b/>
          <w:bCs/>
        </w:rPr>
        <w:t>eal GDP</w:t>
      </w:r>
      <w:r w:rsidR="00B47A72" w:rsidRPr="000C4C82">
        <w:rPr>
          <w:b/>
          <w:bCs/>
        </w:rPr>
        <w:t>, GDP growth forecast</w:t>
      </w:r>
      <w:r w:rsidR="00B47A72">
        <w:t>. Source: IMF, World Economic Outlook database</w:t>
      </w:r>
    </w:p>
    <w:p w14:paraId="3707DDAA" w14:textId="04FB2553" w:rsidR="00B47A72" w:rsidRDefault="000C4C82" w:rsidP="00E53673">
      <w:r w:rsidRPr="000C4C82">
        <w:rPr>
          <w:b/>
          <w:bCs/>
        </w:rPr>
        <w:t>Agriculture and manufacturing, share of total value added</w:t>
      </w:r>
      <w:r>
        <w:t>. Source: the World Bank, World Development Indicators.</w:t>
      </w:r>
    </w:p>
    <w:p w14:paraId="43ED4B49" w14:textId="77777777" w:rsidR="000C4C82" w:rsidRDefault="000C4C82" w:rsidP="000C4C82">
      <w:r w:rsidRPr="000C4C82">
        <w:rPr>
          <w:b/>
          <w:bCs/>
        </w:rPr>
        <w:t>GDP per capita in current US dollars and population</w:t>
      </w:r>
      <w:r>
        <w:t xml:space="preserve">. </w:t>
      </w:r>
      <w:r>
        <w:t>Source: the World Bank, World Development Indicators.</w:t>
      </w:r>
    </w:p>
    <w:p w14:paraId="7BB60315" w14:textId="77777777" w:rsidR="00FF00B4" w:rsidRDefault="000C4C82" w:rsidP="00E53673">
      <w:r w:rsidRPr="000C4C82">
        <w:rPr>
          <w:b/>
          <w:bCs/>
        </w:rPr>
        <w:t>COVID cases and deaths (per thousand population)</w:t>
      </w:r>
      <w:r>
        <w:t>. Source: Oxford</w:t>
      </w:r>
      <w:r w:rsidR="00FF00B4">
        <w:t xml:space="preserve"> and Johns Hopkins University,</w:t>
      </w:r>
    </w:p>
    <w:p w14:paraId="31D39813" w14:textId="69192E3F" w:rsidR="000C4C82" w:rsidRDefault="00FF00B4" w:rsidP="00E53673">
      <w:r w:rsidRPr="00FF00B4">
        <w:rPr>
          <w:b/>
          <w:bCs/>
        </w:rPr>
        <w:t>Stringency Index</w:t>
      </w:r>
      <w:r>
        <w:t xml:space="preserve">. </w:t>
      </w:r>
      <w:r w:rsidR="000C4C82">
        <w:t xml:space="preserve"> </w:t>
      </w:r>
      <w:r>
        <w:t>Source: Oxford University.</w:t>
      </w:r>
    </w:p>
    <w:p w14:paraId="06101902" w14:textId="5FA65C4D" w:rsidR="005871AE" w:rsidRDefault="005871AE" w:rsidP="00E53673">
      <w:r w:rsidRPr="005871AE">
        <w:rPr>
          <w:b/>
          <w:bCs/>
        </w:rPr>
        <w:t>GDP share of tourism (direct), GDP share of tourism (total)</w:t>
      </w:r>
      <w:r>
        <w:t xml:space="preserve">. Source: </w:t>
      </w:r>
      <w:r w:rsidR="00DD3FB6">
        <w:t>World Travel and Tourism Council (data accessed via World Bank).</w:t>
      </w:r>
    </w:p>
    <w:p w14:paraId="51277C9C" w14:textId="0A81376A" w:rsidR="00DD3FB6" w:rsidRDefault="00DD3FB6" w:rsidP="00DD3FB6">
      <w:pPr>
        <w:jc w:val="center"/>
      </w:pPr>
      <w:r>
        <w:t>List of countries</w:t>
      </w:r>
    </w:p>
    <w:p w14:paraId="68173311" w14:textId="61C81476" w:rsidR="00202300" w:rsidRDefault="00DD3FB6" w:rsidP="00202300">
      <w:r>
        <w:t xml:space="preserve">Advanced economies: </w:t>
      </w:r>
      <w:r w:rsidR="000A52B0">
        <w:t>A</w:t>
      </w:r>
      <w:r w:rsidR="00C24DF0">
        <w:t>ndorra, A</w:t>
      </w:r>
      <w:r w:rsidR="000A52B0">
        <w:t xml:space="preserve">ustralia, </w:t>
      </w:r>
      <w:r>
        <w:t xml:space="preserve">Austria, Belgium, </w:t>
      </w:r>
      <w:r w:rsidR="000A52B0">
        <w:t xml:space="preserve">Canada, </w:t>
      </w:r>
      <w:r>
        <w:t xml:space="preserve">Cyprus, </w:t>
      </w:r>
      <w:r w:rsidR="00C24DF0">
        <w:t xml:space="preserve">Czech Republic, </w:t>
      </w:r>
      <w:r>
        <w:t xml:space="preserve">Denmark, Estonia, Finland, France, Germany, Greece, </w:t>
      </w:r>
      <w:r w:rsidR="00025BA8">
        <w:t xml:space="preserve">Hong Kong SAR, </w:t>
      </w:r>
      <w:r>
        <w:t xml:space="preserve">Iceland, Ireland, </w:t>
      </w:r>
      <w:r w:rsidR="000A52B0">
        <w:t xml:space="preserve">Israel, </w:t>
      </w:r>
      <w:r w:rsidR="00025BA8">
        <w:t xml:space="preserve">Italy, </w:t>
      </w:r>
      <w:r w:rsidR="000A52B0">
        <w:t xml:space="preserve">Japan, </w:t>
      </w:r>
      <w:r w:rsidR="00025BA8">
        <w:t xml:space="preserve">South Korea, Latvia, Lithuania, Luxembourg, </w:t>
      </w:r>
      <w:r w:rsidR="000A52B0">
        <w:t xml:space="preserve">Macao, </w:t>
      </w:r>
      <w:r w:rsidR="00025BA8">
        <w:t xml:space="preserve">Malta, Netherlands, </w:t>
      </w:r>
      <w:r w:rsidR="000A52B0">
        <w:t xml:space="preserve">New Zealand, Norway, Portugal, Singapore, Slovak Republic, Slovenia, Spain, </w:t>
      </w:r>
      <w:r w:rsidR="00C24DF0">
        <w:t xml:space="preserve">Sweden, Switzerland, </w:t>
      </w:r>
      <w:r w:rsidR="000A52B0">
        <w:t>Taiwan, United Kingdom, United States</w:t>
      </w:r>
      <w:r w:rsidR="00D32E4C">
        <w:t>.</w:t>
      </w:r>
    </w:p>
    <w:p w14:paraId="76ACD42A" w14:textId="126CE8F8" w:rsidR="00D0155A" w:rsidRDefault="00202300" w:rsidP="00202300">
      <w:r>
        <w:t xml:space="preserve">Emerging and developing economies: Afghanistan, I.R. of; Albania; Algeria; Angola; Antigua and Barbuda; Argentina; Armenia; Aruba; Azerbaijan; </w:t>
      </w:r>
      <w:r w:rsidR="00AC44E4">
        <w:t>Bahamas,</w:t>
      </w:r>
      <w:r w:rsidR="00AC44E4">
        <w:t xml:space="preserve"> </w:t>
      </w:r>
      <w:r w:rsidR="00AC44E4">
        <w:t>Bahrain,</w:t>
      </w:r>
      <w:r w:rsidR="00AC44E4">
        <w:t xml:space="preserve"> </w:t>
      </w:r>
      <w:r>
        <w:t xml:space="preserve">Bangladesh; </w:t>
      </w:r>
      <w:r w:rsidR="00AC44E4">
        <w:t>Barbados</w:t>
      </w:r>
      <w:r w:rsidR="00AC44E4">
        <w:t xml:space="preserve">; </w:t>
      </w:r>
      <w:r>
        <w:t xml:space="preserve">Belarus; Belize; Benin; Bhutan; Bolivia; Bosnia and Herzegovina; Botswana; Brazil; Brunei Darussalam; Bulgaria; Burkina Faso; Burundi; Cambodia; Cameroon; Cape Verde; Central African Rep.; Chad; Chile; China; Colombia; Comoros; Congo, Dem. Rep. of; Congo, Republic of; Costa Rica; Croatia; Côte d'Ivoire; Djibouti; Dominica; Dominican Republic; Ecuador; Egypt; El Salvador; Equatorial Guinea; Eritrea; Ethiopia; Fiji; Gabon; Gambia; Georgia; Ghana; Grenada; Guatemala; Guinea; Guinea-Bissau; Guyana; Haiti; Honduras; Hungary; India; Indonesia; Iran, Islamic Republic of; Iraq; Jamaica; Jordan; Kazakhstan; Kenya; Kiribati; Kosovo; Kuwait; Kyrgyz Republic; Lao People's Dem.Rep; Lebanon; Lesotho; Liberia; Libya; Lithuania; Macedonia; Madagascar; Malawi; Malaysia; Maldives; Mali; Marshall Islands; Mauritania; Mauritius; Mexico; Micronesia; Moldova; Mongolia; Montenegro; Montserrat; Morocco; Mozambique; Myanmar; Namibia; Nauru; Nepal; Nicaragua; Niger; Nigeria; Oman; Pakistan; Palau; Panama; Papua New Guinea; Paraguay; Peru; Philippines; Poland; Qatar; Romania; Russia; Rwanda; Samoa; Saudi Arabia; Senegal; Serbia; Seychelles; Sierra Leone; Solomon Islands; Somalia; South Africa; South Sudan; Sri Lanka; St. Kitts and Nevis; St. Lucia; St. Vincent &amp; Grenadines.; Suriname; Swaziland; Syrian Arab Republic; São Tomé &amp; Príncipe; Tajikistan; Tanzania; Thailand; Timor-Leste; Togo; Tonga; Trinidad and Tobago; Tunisia; Turkey; </w:t>
      </w:r>
      <w:r>
        <w:lastRenderedPageBreak/>
        <w:t>Turkmenistan; Tuvalu; Uganda; Ukraine; United Arab Emirates; Uruguay; Uzbekistan; Vanuatu; Venezuela, Rep. Bol.; Vietnam; West Bank and Gaza; Yemen; Republic of; Zambia; Zimbabwe.</w:t>
      </w:r>
    </w:p>
    <w:p w14:paraId="2F908CC8" w14:textId="77777777" w:rsidR="00FF00B4" w:rsidRPr="000C4C82" w:rsidRDefault="00FF00B4" w:rsidP="00E53673"/>
    <w:p w14:paraId="07F325A0" w14:textId="77777777" w:rsidR="00472106" w:rsidRPr="000C4C82" w:rsidRDefault="00472106" w:rsidP="00E53673"/>
    <w:p w14:paraId="469A1E59" w14:textId="77777777" w:rsidR="003B138D" w:rsidRPr="000C4C82" w:rsidRDefault="003B138D">
      <w:r w:rsidRPr="000C4C82">
        <w:br w:type="page"/>
      </w:r>
    </w:p>
    <w:p w14:paraId="20F1B225" w14:textId="1CBAF713" w:rsidR="00AC0056" w:rsidRDefault="003B138D" w:rsidP="003B138D">
      <w:pPr>
        <w:jc w:val="center"/>
      </w:pPr>
      <w:r>
        <w:lastRenderedPageBreak/>
        <w:t>References</w:t>
      </w:r>
    </w:p>
    <w:p w14:paraId="5AE6BDD5" w14:textId="5CB65A20" w:rsidR="00C74B37" w:rsidRPr="00CA43ED" w:rsidRDefault="00C74B37" w:rsidP="003B138D">
      <w:r w:rsidRPr="00C74B37">
        <w:t>Behsudi, Adam</w:t>
      </w:r>
      <w:r w:rsidR="00BB4135">
        <w:t>, 2020,</w:t>
      </w:r>
      <w:r w:rsidRPr="00C74B37">
        <w:t xml:space="preserve"> “Wish You W</w:t>
      </w:r>
      <w:r>
        <w:t xml:space="preserve">ere Here,” </w:t>
      </w:r>
      <w:r w:rsidR="00CA43ED">
        <w:rPr>
          <w:i/>
          <w:iCs/>
        </w:rPr>
        <w:t>Finance and Development</w:t>
      </w:r>
      <w:r w:rsidR="009C0AC7">
        <w:rPr>
          <w:i/>
          <w:iCs/>
        </w:rPr>
        <w:t xml:space="preserve"> </w:t>
      </w:r>
      <w:r w:rsidR="009C0AC7">
        <w:t>vol. 57 no. 4</w:t>
      </w:r>
      <w:r w:rsidR="00CA43ED">
        <w:t>, December.</w:t>
      </w:r>
    </w:p>
    <w:p w14:paraId="7802C2D3" w14:textId="5E43F84F" w:rsidR="000E0E2F" w:rsidRDefault="000E0E2F" w:rsidP="003B138D">
      <w:bookmarkStart w:id="1" w:name="_Hlk77869387"/>
      <w:r>
        <w:t>Blunk, Scott</w:t>
      </w:r>
      <w:r w:rsidR="00AC6F55">
        <w:t xml:space="preserve"> S, David E. Clark and James McGibany, 2006, “</w:t>
      </w:r>
      <w:r>
        <w:t>Evaluating the Long-run Impacts of the 9/11 Terrorist Attacks on US Domestic Airline Travel</w:t>
      </w:r>
      <w:r w:rsidR="00AC6F55">
        <w:t xml:space="preserve">,” </w:t>
      </w:r>
      <w:r w:rsidR="00720A8A">
        <w:t>Applied Economics, Vol. 38, No. 4 (March 2006): 363-370.</w:t>
      </w:r>
    </w:p>
    <w:p w14:paraId="0951AF00" w14:textId="1F9025B1" w:rsidR="002E75EC" w:rsidRDefault="002E75EC" w:rsidP="003B138D">
      <w:r>
        <w:t xml:space="preserve">International Monetary Fund, 2020, </w:t>
      </w:r>
      <w:r w:rsidRPr="002E75EC">
        <w:rPr>
          <w:i/>
          <w:iCs/>
        </w:rPr>
        <w:t>World Economic Outlook Update</w:t>
      </w:r>
      <w:r>
        <w:t xml:space="preserve">, January. </w:t>
      </w:r>
    </w:p>
    <w:p w14:paraId="661B8C68" w14:textId="6450C2E5" w:rsidR="00205D24" w:rsidRPr="00205D24" w:rsidRDefault="00205D24" w:rsidP="003B138D">
      <w:r>
        <w:t xml:space="preserve">International Monetary Fund, 2021, </w:t>
      </w:r>
      <w:r>
        <w:rPr>
          <w:i/>
          <w:iCs/>
        </w:rPr>
        <w:t>World Economic Outlook</w:t>
      </w:r>
      <w:r>
        <w:t xml:space="preserve">, </w:t>
      </w:r>
      <w:r w:rsidR="00D30D7A">
        <w:t>April.</w:t>
      </w:r>
    </w:p>
    <w:p w14:paraId="69A951A6" w14:textId="77777777" w:rsidR="00E97D84" w:rsidRDefault="001B5710" w:rsidP="00A834B5">
      <w:r w:rsidRPr="001B5710">
        <w:t>Kuo, Hsiao-I., Chi-Chung Chen, Wei-Chun Tseng, Lan-Fen Ju, and Bing-Wen Huang. “Assessing Impacts of SARS and Avian Flu on International Tourism Demand to Asia.” Tourism Management 29, no. 5 (October 2008): 917–28.</w:t>
      </w:r>
    </w:p>
    <w:p w14:paraId="3D118DDD" w14:textId="04AC8650" w:rsidR="006F002C" w:rsidRPr="006F002C" w:rsidRDefault="00A834B5" w:rsidP="00A834B5">
      <w:r w:rsidRPr="00306C2B">
        <w:t>Lane, Philip R. and Gian Maria Milesi-Ferretti, 201</w:t>
      </w:r>
      <w:r>
        <w:t>1</w:t>
      </w:r>
      <w:r w:rsidRPr="00306C2B">
        <w:t xml:space="preserve">, </w:t>
      </w:r>
      <w:r w:rsidRPr="00AC0DAA">
        <w:t>"</w:t>
      </w:r>
      <w:r>
        <w:t xml:space="preserve">The Cross-Country Incidence of the </w:t>
      </w:r>
      <w:r w:rsidR="006F002C">
        <w:t xml:space="preserve">Global Crisis,” </w:t>
      </w:r>
      <w:r w:rsidR="006F002C">
        <w:rPr>
          <w:i/>
          <w:iCs/>
        </w:rPr>
        <w:t xml:space="preserve">IMF Economic Review </w:t>
      </w:r>
      <w:r w:rsidR="006F002C">
        <w:t>59, April, 77-110.</w:t>
      </w:r>
    </w:p>
    <w:p w14:paraId="20E8F67C" w14:textId="4E0D909B" w:rsidR="00947B76" w:rsidRDefault="00947B76" w:rsidP="003B138D">
      <w:r w:rsidRPr="00306C2B">
        <w:t>Lane, Philip R. and Gian Maria Milesi-Ferretti, 20</w:t>
      </w:r>
      <w:r w:rsidR="00AC0DAA" w:rsidRPr="00306C2B">
        <w:t>12</w:t>
      </w:r>
      <w:bookmarkEnd w:id="1"/>
      <w:r w:rsidR="00AC0DAA" w:rsidRPr="00306C2B">
        <w:t xml:space="preserve">, </w:t>
      </w:r>
      <w:r w:rsidR="00AC0DAA" w:rsidRPr="00AC0DAA">
        <w:t>"External adjustment and the global crisis," Journal of International Economics, Elsevier, vol. 88(2), pages 252-265.</w:t>
      </w:r>
    </w:p>
    <w:p w14:paraId="177E4DDE" w14:textId="77777777" w:rsidR="009E1CE4" w:rsidRDefault="00306C2B" w:rsidP="003B138D">
      <w:r w:rsidRPr="00306C2B">
        <w:t>Lane, Philip R. and Gian Maria Milesi-Ferretti, 20</w:t>
      </w:r>
      <w:r>
        <w:t>21, “External Wealth of Nations Database”</w:t>
      </w:r>
    </w:p>
    <w:p w14:paraId="605BF4E9" w14:textId="4B46D1DF" w:rsidR="001D5CE7" w:rsidRDefault="003B138D" w:rsidP="003B138D">
      <w:r>
        <w:t xml:space="preserve">MacDonald, </w:t>
      </w:r>
      <w:r w:rsidR="00F64CBC">
        <w:t xml:space="preserve">Margaux, </w:t>
      </w:r>
      <w:r>
        <w:t xml:space="preserve">Roberto Piazza, and Galen Sher, 2020, “COVID-19 and the Travel and Hospitality Sectors,” </w:t>
      </w:r>
      <w:r w:rsidR="00F64CBC">
        <w:t xml:space="preserve">International Monetary Fund, </w:t>
      </w:r>
      <w:r w:rsidR="00747AF9">
        <w:t xml:space="preserve">Special Series on COVID-19, </w:t>
      </w:r>
      <w:r w:rsidR="003045BC">
        <w:t>September</w:t>
      </w:r>
      <w:r w:rsidR="00F64CBC">
        <w:t xml:space="preserve">. </w:t>
      </w:r>
    </w:p>
    <w:p w14:paraId="103032F1" w14:textId="003377E8" w:rsidR="007576B3" w:rsidRDefault="000C5DF0"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rsidRPr="00377B5B">
        <w:t xml:space="preserve">Ritchie, </w:t>
      </w:r>
      <w:r>
        <w:t xml:space="preserve">Hannah; </w:t>
      </w:r>
      <w:r w:rsidRPr="00377B5B">
        <w:t>Esteban Ortiz-Ospina, Diana Beltekian, Edouard Mathieu, Joe Hasell, Bobbie Macdonald, Charlie Giattino, Cameron Appel, Lucas Rodés-Guirao and Max Roser (2020)</w:t>
      </w:r>
      <w:r>
        <w:t xml:space="preserve">, </w:t>
      </w:r>
      <w:r w:rsidRPr="00377B5B">
        <w:t>"Coronavirus Pandemic (COVID-19)". Published online at OurWorldInData.org.</w:t>
      </w:r>
    </w:p>
    <w:p w14:paraId="518BAC2A" w14:textId="77777777" w:rsidR="00391DE6" w:rsidRDefault="00391DE6"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5711E4DD" w14:textId="6EF6F00B" w:rsidR="007576B3" w:rsidRDefault="00391DE6"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rsidRPr="00391DE6">
        <w:t>Rosselló, Jaume, Susanne Becken, and Maria Santana-Gallego</w:t>
      </w:r>
      <w:r>
        <w:t>, 2020,</w:t>
      </w:r>
      <w:r w:rsidRPr="00391DE6">
        <w:t xml:space="preserve"> “The Effects of Natural Disasters on International Tourism: A Global Analysis.” Tourism Management 79: 104080.</w:t>
      </w:r>
    </w:p>
    <w:p w14:paraId="4006C934" w14:textId="77777777" w:rsidR="00391DE6" w:rsidRDefault="00391DE6"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0CA52EB7" w14:textId="76589987" w:rsidR="005600D1" w:rsidRDefault="005600D1"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rsidRPr="005600D1">
        <w:t>Škare, Marinko, Domingo Riberio Soriano, and Małgorzata Porada-Rochoń</w:t>
      </w:r>
      <w:r w:rsidR="00E4021B">
        <w:t xml:space="preserve">, 2021, </w:t>
      </w:r>
      <w:r w:rsidRPr="005600D1">
        <w:t>"Impact of COVID-19 on the travel and tourism industry." Technological Forecasting and Social Change 163. </w:t>
      </w:r>
    </w:p>
    <w:p w14:paraId="3DB05F46" w14:textId="349774E5" w:rsidR="005600D1" w:rsidRDefault="005600D1"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316C5061" w14:textId="2A034961" w:rsidR="00CC5C9D" w:rsidRDefault="00CC5C9D"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t>UNCTAD, 2021, “</w:t>
      </w:r>
      <w:hyperlink r:id="rId11" w:history="1">
        <w:r w:rsidR="007A58DB" w:rsidRPr="002E75EC">
          <w:rPr>
            <w:rStyle w:val="Hyperlink"/>
          </w:rPr>
          <w:t>COVID-19 and Tourism: An Update</w:t>
        </w:r>
      </w:hyperlink>
      <w:r w:rsidR="002E75EC">
        <w:t xml:space="preserve">. </w:t>
      </w:r>
    </w:p>
    <w:p w14:paraId="5B22E24E" w14:textId="77777777" w:rsidR="002E75EC" w:rsidRDefault="002E75EC" w:rsidP="0075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p>
    <w:p w14:paraId="09C3AFEA" w14:textId="6485DE41" w:rsidR="0004273D" w:rsidRDefault="005C7BE1" w:rsidP="0004273D">
      <w:r w:rsidRPr="0004273D">
        <w:t>UNWTO, 2021a, “</w:t>
      </w:r>
      <w:hyperlink r:id="rId12" w:history="1">
        <w:r w:rsidR="0004273D" w:rsidRPr="00A96A2C">
          <w:rPr>
            <w:rStyle w:val="Hyperlink"/>
          </w:rPr>
          <w:t>2020: Worst Year In Tourism History With 1 Billion Fewer International Arrivals</w:t>
        </w:r>
      </w:hyperlink>
      <w:r w:rsidR="0004273D">
        <w:t xml:space="preserve">,” </w:t>
      </w:r>
      <w:r w:rsidR="008355CF">
        <w:t>World Tourism Organization, January.</w:t>
      </w:r>
    </w:p>
    <w:p w14:paraId="7C4A279C" w14:textId="2F4CCF53" w:rsidR="008355CF" w:rsidRDefault="008355CF" w:rsidP="0004273D">
      <w:pPr>
        <w:rPr>
          <w:rFonts w:ascii="Arial" w:hAnsi="Arial" w:cs="Arial"/>
          <w:caps/>
          <w:color w:val="222222"/>
          <w:sz w:val="54"/>
          <w:szCs w:val="54"/>
        </w:rPr>
      </w:pPr>
      <w:r>
        <w:t>UNWTO, 2021b, “</w:t>
      </w:r>
      <w:r w:rsidR="00B20B5A">
        <w:t>World Tourism Barometer</w:t>
      </w:r>
      <w:r w:rsidR="00BB630F">
        <w:t>”, volume 19 issues 1-4.</w:t>
      </w:r>
    </w:p>
    <w:p w14:paraId="4E3E8684" w14:textId="77777777" w:rsidR="0038387A" w:rsidRDefault="0038387A" w:rsidP="0038387A">
      <w:r>
        <w:t xml:space="preserve">World Travel and Tourism Council, 2021, </w:t>
      </w:r>
      <w:hyperlink r:id="rId13" w:history="1">
        <w:r w:rsidRPr="007C4889">
          <w:rPr>
            <w:rStyle w:val="Hyperlink"/>
          </w:rPr>
          <w:t>Travel and Tourism Economic Impact 2021</w:t>
        </w:r>
      </w:hyperlink>
      <w:r>
        <w:t xml:space="preserve">. </w:t>
      </w:r>
    </w:p>
    <w:p w14:paraId="21D2BD34" w14:textId="7AB5159A" w:rsidR="005C7BE1" w:rsidRDefault="0004273D" w:rsidP="003B138D">
      <w:r>
        <w:t>WTTC/Oxford Economics, 2020, “Travel and Tourism Economic Impact Research Methodology,”, May.</w:t>
      </w:r>
    </w:p>
    <w:p w14:paraId="3853EBC7" w14:textId="520FADF0" w:rsidR="00A668D0" w:rsidRDefault="00A668D0" w:rsidP="00A668D0">
      <w:r>
        <w:t>WTTC/Oxford Economics, 202</w:t>
      </w:r>
      <w:r>
        <w:t>1</w:t>
      </w:r>
      <w:r>
        <w:t>, “Travel and Tourism Economic Impact Research Methodology,”, May.</w:t>
      </w:r>
    </w:p>
    <w:p w14:paraId="100AB680" w14:textId="77777777" w:rsidR="008355CF" w:rsidRDefault="008355CF" w:rsidP="003B138D"/>
    <w:p w14:paraId="34C81ABD" w14:textId="77777777" w:rsidR="003E7E55" w:rsidRDefault="003E7E55"/>
    <w:p w14:paraId="4F3FC44A" w14:textId="77777777" w:rsidR="00903566" w:rsidRDefault="001D5CE7" w:rsidP="00903566">
      <w:r>
        <w:lastRenderedPageBreak/>
        <w:br w:type="page"/>
      </w:r>
    </w:p>
    <w:p w14:paraId="6C605657" w14:textId="61FD7FDB" w:rsidR="004B7234" w:rsidRDefault="00EF1BB2" w:rsidP="00EF1BB2">
      <w:pPr>
        <w:jc w:val="center"/>
      </w:pPr>
      <w:r>
        <w:lastRenderedPageBreak/>
        <w:t xml:space="preserve">Figure 1. </w:t>
      </w:r>
      <w:r w:rsidR="00584CE4">
        <w:t>Exports of services</w:t>
      </w:r>
    </w:p>
    <w:p w14:paraId="5110A4CB" w14:textId="455F36AE" w:rsidR="006B35BD" w:rsidRDefault="00584CE4" w:rsidP="004E5938">
      <w:pPr>
        <w:jc w:val="center"/>
      </w:pPr>
      <w:r w:rsidRPr="00584CE4">
        <w:rPr>
          <w:noProof/>
        </w:rPr>
        <w:drawing>
          <wp:inline distT="0" distB="0" distL="0" distR="0" wp14:anchorId="53E21692" wp14:editId="36123F7C">
            <wp:extent cx="6400800" cy="4641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641215"/>
                    </a:xfrm>
                    <a:prstGeom prst="rect">
                      <a:avLst/>
                    </a:prstGeom>
                    <a:noFill/>
                    <a:ln>
                      <a:noFill/>
                    </a:ln>
                  </pic:spPr>
                </pic:pic>
              </a:graphicData>
            </a:graphic>
          </wp:inline>
        </w:drawing>
      </w:r>
    </w:p>
    <w:p w14:paraId="70C18FD8" w14:textId="77777777" w:rsidR="006B35BD" w:rsidRDefault="006B35BD">
      <w:r>
        <w:br w:type="page"/>
      </w:r>
    </w:p>
    <w:p w14:paraId="4DE7B316" w14:textId="1A730D81" w:rsidR="00EF1BB2" w:rsidRDefault="00EF1BB2" w:rsidP="00EF1BB2">
      <w:pPr>
        <w:jc w:val="center"/>
      </w:pPr>
      <w:r>
        <w:lastRenderedPageBreak/>
        <w:t>Figure 2. Current account adjustment in 2020</w:t>
      </w:r>
    </w:p>
    <w:p w14:paraId="1B291A3C" w14:textId="18F633FB" w:rsidR="00967F70" w:rsidRDefault="00CC7437">
      <w:r>
        <w:rPr>
          <w:noProof/>
        </w:rPr>
        <w:drawing>
          <wp:inline distT="0" distB="0" distL="0" distR="0" wp14:anchorId="45CAE8FE" wp14:editId="4855A70B">
            <wp:extent cx="6400800" cy="398907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CA adjust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989070"/>
                    </a:xfrm>
                    <a:prstGeom prst="rect">
                      <a:avLst/>
                    </a:prstGeom>
                  </pic:spPr>
                </pic:pic>
              </a:graphicData>
            </a:graphic>
          </wp:inline>
        </w:drawing>
      </w:r>
    </w:p>
    <w:p w14:paraId="1E84BC29" w14:textId="77777777" w:rsidR="00EF1BB2" w:rsidRDefault="00EF1BB2">
      <w:r>
        <w:br w:type="page"/>
      </w:r>
    </w:p>
    <w:p w14:paraId="5591E14D" w14:textId="7F8A7054" w:rsidR="00CE7E19" w:rsidRDefault="00CE7E19" w:rsidP="00CE7E19">
      <w:pPr>
        <w:jc w:val="center"/>
      </w:pPr>
      <w:r>
        <w:lastRenderedPageBreak/>
        <w:t xml:space="preserve">Figure 3. Exports of Transport Services, Selected Countries </w:t>
      </w:r>
    </w:p>
    <w:p w14:paraId="587D3A23" w14:textId="77777777" w:rsidR="00CE7E19" w:rsidRDefault="00CE7E19" w:rsidP="00CE7E19">
      <w:pPr>
        <w:jc w:val="center"/>
      </w:pPr>
      <w:r>
        <w:t>(percent of world GDP)</w:t>
      </w:r>
    </w:p>
    <w:p w14:paraId="572C3185" w14:textId="77777777" w:rsidR="00CE7E19" w:rsidRDefault="00CE7E19" w:rsidP="00CE7E19">
      <w:pPr>
        <w:jc w:val="center"/>
      </w:pPr>
    </w:p>
    <w:p w14:paraId="5574AF3B" w14:textId="77777777" w:rsidR="00CE7E19" w:rsidRDefault="00CE7E19" w:rsidP="00CE7E19">
      <w:pPr>
        <w:jc w:val="center"/>
      </w:pPr>
      <w:r w:rsidRPr="00877474">
        <w:rPr>
          <w:noProof/>
        </w:rPr>
        <w:drawing>
          <wp:inline distT="0" distB="0" distL="0" distR="0" wp14:anchorId="790C233A" wp14:editId="61B06C04">
            <wp:extent cx="4565650" cy="3310549"/>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7458" cy="3319111"/>
                    </a:xfrm>
                    <a:prstGeom prst="rect">
                      <a:avLst/>
                    </a:prstGeom>
                    <a:noFill/>
                    <a:ln>
                      <a:noFill/>
                    </a:ln>
                  </pic:spPr>
                </pic:pic>
              </a:graphicData>
            </a:graphic>
          </wp:inline>
        </w:drawing>
      </w:r>
    </w:p>
    <w:p w14:paraId="78734432" w14:textId="77777777" w:rsidR="00CE7E19" w:rsidRDefault="00CE7E19" w:rsidP="00CE7E19">
      <w:r>
        <w:t xml:space="preserve">Note: sum across countries of exports of transport services for countries providing a decomposition between passenger, freight, and other. Source: author’s calculations based on IMF, Balance of Payments Statistics and national sources. </w:t>
      </w:r>
      <w:r>
        <w:br w:type="page"/>
      </w:r>
    </w:p>
    <w:p w14:paraId="6C88C246" w14:textId="77777777" w:rsidR="00CE7E19" w:rsidRDefault="00CE7E19"/>
    <w:p w14:paraId="39F0DD75" w14:textId="748D51D1" w:rsidR="001120AE" w:rsidRDefault="001120AE" w:rsidP="001120AE">
      <w:pPr>
        <w:jc w:val="center"/>
      </w:pPr>
      <w:r>
        <w:t xml:space="preserve">Figure </w:t>
      </w:r>
      <w:r w:rsidR="0079220F">
        <w:t>4</w:t>
      </w:r>
      <w:r>
        <w:t>.</w:t>
      </w:r>
      <w:r w:rsidR="00445688">
        <w:t xml:space="preserve">  </w:t>
      </w:r>
      <w:r w:rsidR="00F46808">
        <w:t>Tourism dependence and g</w:t>
      </w:r>
      <w:r w:rsidR="00445688">
        <w:t xml:space="preserve">rowth </w:t>
      </w:r>
      <w:r w:rsidR="00F46808">
        <w:t>performance in 2020</w:t>
      </w:r>
      <w:r>
        <w:t xml:space="preserve"> </w:t>
      </w:r>
    </w:p>
    <w:p w14:paraId="3CC113A1" w14:textId="561AEEAA" w:rsidR="001120AE" w:rsidRDefault="001120AE" w:rsidP="001120AE">
      <w:pPr>
        <w:jc w:val="center"/>
      </w:pPr>
    </w:p>
    <w:p w14:paraId="6242CE2A" w14:textId="78090655" w:rsidR="001120AE" w:rsidRDefault="001120AE" w:rsidP="001120AE">
      <w:pPr>
        <w:jc w:val="center"/>
      </w:pPr>
      <w:r>
        <w:rPr>
          <w:noProof/>
        </w:rPr>
        <w:drawing>
          <wp:inline distT="0" distB="0" distL="0" distR="0" wp14:anchorId="0D44CFF6" wp14:editId="196EB9B2">
            <wp:extent cx="5360988" cy="389890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growth_tourism.jpg"/>
                    <pic:cNvPicPr/>
                  </pic:nvPicPr>
                  <pic:blipFill>
                    <a:blip r:embed="rId17">
                      <a:extLst>
                        <a:ext uri="{28A0092B-C50C-407E-A947-70E740481C1C}">
                          <a14:useLocalDpi xmlns:a14="http://schemas.microsoft.com/office/drawing/2010/main" val="0"/>
                        </a:ext>
                      </a:extLst>
                    </a:blip>
                    <a:stretch>
                      <a:fillRect/>
                    </a:stretch>
                  </pic:blipFill>
                  <pic:spPr>
                    <a:xfrm>
                      <a:off x="0" y="0"/>
                      <a:ext cx="5364882" cy="3901732"/>
                    </a:xfrm>
                    <a:prstGeom prst="rect">
                      <a:avLst/>
                    </a:prstGeom>
                  </pic:spPr>
                </pic:pic>
              </a:graphicData>
            </a:graphic>
          </wp:inline>
        </w:drawing>
      </w:r>
    </w:p>
    <w:p w14:paraId="2C94C8EF" w14:textId="77777777" w:rsidR="00007732" w:rsidRDefault="00007732">
      <w:r>
        <w:br w:type="page"/>
      </w:r>
    </w:p>
    <w:p w14:paraId="14464065" w14:textId="7A67A931" w:rsidR="00F17DC1" w:rsidRDefault="00F17DC1" w:rsidP="00F17DC1">
      <w:pPr>
        <w:jc w:val="center"/>
      </w:pPr>
      <w:r>
        <w:lastRenderedPageBreak/>
        <w:t xml:space="preserve">Table </w:t>
      </w:r>
      <w:r w:rsidR="002B4EA2">
        <w:t>5</w:t>
      </w:r>
      <w:r>
        <w:t>. Current account adjustment, 2020  vs 2015-19</w:t>
      </w:r>
    </w:p>
    <w:tbl>
      <w:tblPr>
        <w:tblW w:w="10080" w:type="dxa"/>
        <w:tblLook w:val="04A0" w:firstRow="1" w:lastRow="0" w:firstColumn="1" w:lastColumn="0" w:noHBand="0" w:noVBand="1"/>
      </w:tblPr>
      <w:tblGrid>
        <w:gridCol w:w="2709"/>
        <w:gridCol w:w="216"/>
        <w:gridCol w:w="1025"/>
        <w:gridCol w:w="1226"/>
        <w:gridCol w:w="1226"/>
        <w:gridCol w:w="1226"/>
        <w:gridCol w:w="1226"/>
        <w:gridCol w:w="1226"/>
      </w:tblGrid>
      <w:tr w:rsidR="005C1F3E" w:rsidRPr="00F17DC1" w14:paraId="21BA2A48" w14:textId="77777777" w:rsidTr="0079220F">
        <w:trPr>
          <w:trHeight w:val="290"/>
        </w:trPr>
        <w:tc>
          <w:tcPr>
            <w:tcW w:w="2925" w:type="dxa"/>
            <w:gridSpan w:val="2"/>
            <w:tcBorders>
              <w:top w:val="nil"/>
              <w:left w:val="nil"/>
              <w:bottom w:val="nil"/>
              <w:right w:val="nil"/>
            </w:tcBorders>
            <w:shd w:val="clear" w:color="000000" w:fill="FFFFFF"/>
            <w:noWrap/>
            <w:vAlign w:val="bottom"/>
            <w:hideMark/>
          </w:tcPr>
          <w:p w14:paraId="7AA9DBA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025" w:type="dxa"/>
            <w:tcBorders>
              <w:top w:val="nil"/>
              <w:left w:val="nil"/>
              <w:bottom w:val="nil"/>
              <w:right w:val="nil"/>
            </w:tcBorders>
            <w:shd w:val="clear" w:color="000000" w:fill="FFFFFF"/>
            <w:noWrap/>
            <w:vAlign w:val="bottom"/>
            <w:hideMark/>
          </w:tcPr>
          <w:p w14:paraId="615BE02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CB3B77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35918AD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2B88790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2D97E55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37465F1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630789D9" w14:textId="77777777" w:rsidTr="0079220F">
        <w:trPr>
          <w:trHeight w:val="290"/>
        </w:trPr>
        <w:tc>
          <w:tcPr>
            <w:tcW w:w="2709" w:type="dxa"/>
            <w:tcBorders>
              <w:top w:val="nil"/>
              <w:left w:val="nil"/>
              <w:bottom w:val="nil"/>
              <w:right w:val="nil"/>
            </w:tcBorders>
            <w:shd w:val="clear" w:color="000000" w:fill="FFFFFF"/>
            <w:noWrap/>
            <w:vAlign w:val="bottom"/>
            <w:hideMark/>
          </w:tcPr>
          <w:p w14:paraId="7DF4BF7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3162BBC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w:t>
            </w:r>
          </w:p>
        </w:tc>
        <w:tc>
          <w:tcPr>
            <w:tcW w:w="1226" w:type="dxa"/>
            <w:tcBorders>
              <w:top w:val="nil"/>
              <w:left w:val="nil"/>
              <w:bottom w:val="nil"/>
              <w:right w:val="nil"/>
            </w:tcBorders>
            <w:shd w:val="clear" w:color="000000" w:fill="FFFFFF"/>
            <w:noWrap/>
            <w:vAlign w:val="bottom"/>
            <w:hideMark/>
          </w:tcPr>
          <w:p w14:paraId="33CAC94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w:t>
            </w:r>
          </w:p>
        </w:tc>
        <w:tc>
          <w:tcPr>
            <w:tcW w:w="1226" w:type="dxa"/>
            <w:tcBorders>
              <w:top w:val="nil"/>
              <w:left w:val="nil"/>
              <w:bottom w:val="nil"/>
              <w:right w:val="nil"/>
            </w:tcBorders>
            <w:shd w:val="clear" w:color="000000" w:fill="FFFFFF"/>
            <w:noWrap/>
            <w:vAlign w:val="bottom"/>
            <w:hideMark/>
          </w:tcPr>
          <w:p w14:paraId="0598E95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w:t>
            </w:r>
          </w:p>
        </w:tc>
        <w:tc>
          <w:tcPr>
            <w:tcW w:w="1226" w:type="dxa"/>
            <w:tcBorders>
              <w:top w:val="nil"/>
              <w:left w:val="nil"/>
              <w:bottom w:val="nil"/>
              <w:right w:val="nil"/>
            </w:tcBorders>
            <w:shd w:val="clear" w:color="000000" w:fill="FFFFFF"/>
            <w:noWrap/>
            <w:vAlign w:val="bottom"/>
            <w:hideMark/>
          </w:tcPr>
          <w:p w14:paraId="563D413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(4)</w:t>
            </w:r>
          </w:p>
        </w:tc>
        <w:tc>
          <w:tcPr>
            <w:tcW w:w="1226" w:type="dxa"/>
            <w:tcBorders>
              <w:top w:val="nil"/>
              <w:left w:val="nil"/>
              <w:bottom w:val="nil"/>
              <w:right w:val="nil"/>
            </w:tcBorders>
            <w:shd w:val="clear" w:color="000000" w:fill="FFFFFF"/>
            <w:noWrap/>
            <w:vAlign w:val="bottom"/>
            <w:hideMark/>
          </w:tcPr>
          <w:p w14:paraId="06FBD02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w:t>
            </w:r>
          </w:p>
        </w:tc>
        <w:tc>
          <w:tcPr>
            <w:tcW w:w="1226" w:type="dxa"/>
            <w:tcBorders>
              <w:top w:val="nil"/>
              <w:left w:val="nil"/>
              <w:bottom w:val="nil"/>
              <w:right w:val="nil"/>
            </w:tcBorders>
            <w:shd w:val="clear" w:color="000000" w:fill="FFFFFF"/>
            <w:noWrap/>
            <w:vAlign w:val="bottom"/>
            <w:hideMark/>
          </w:tcPr>
          <w:p w14:paraId="056DDEC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(6)</w:t>
            </w:r>
          </w:p>
        </w:tc>
      </w:tr>
      <w:tr w:rsidR="005C1F3E" w:rsidRPr="00F17DC1" w14:paraId="0569B237" w14:textId="77777777" w:rsidTr="0079220F">
        <w:trPr>
          <w:trHeight w:val="290"/>
        </w:trPr>
        <w:tc>
          <w:tcPr>
            <w:tcW w:w="2709" w:type="dxa"/>
            <w:tcBorders>
              <w:top w:val="nil"/>
              <w:left w:val="nil"/>
              <w:bottom w:val="nil"/>
              <w:right w:val="nil"/>
            </w:tcBorders>
            <w:shd w:val="clear" w:color="000000" w:fill="FFFFFF"/>
            <w:noWrap/>
            <w:vAlign w:val="bottom"/>
            <w:hideMark/>
          </w:tcPr>
          <w:p w14:paraId="33402DB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40267DD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All</w:t>
            </w:r>
          </w:p>
        </w:tc>
        <w:tc>
          <w:tcPr>
            <w:tcW w:w="1226" w:type="dxa"/>
            <w:tcBorders>
              <w:top w:val="nil"/>
              <w:left w:val="nil"/>
              <w:bottom w:val="nil"/>
              <w:right w:val="nil"/>
            </w:tcBorders>
            <w:shd w:val="clear" w:color="000000" w:fill="FFFFFF"/>
            <w:noWrap/>
            <w:vAlign w:val="bottom"/>
            <w:hideMark/>
          </w:tcPr>
          <w:p w14:paraId="1FB5F84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All ex KWT</w:t>
            </w:r>
          </w:p>
        </w:tc>
        <w:tc>
          <w:tcPr>
            <w:tcW w:w="1226" w:type="dxa"/>
            <w:tcBorders>
              <w:top w:val="nil"/>
              <w:left w:val="nil"/>
              <w:bottom w:val="nil"/>
              <w:right w:val="nil"/>
            </w:tcBorders>
            <w:shd w:val="clear" w:color="000000" w:fill="FFFFFF"/>
            <w:noWrap/>
            <w:vAlign w:val="bottom"/>
            <w:hideMark/>
          </w:tcPr>
          <w:p w14:paraId="2302492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Adv Ec</w:t>
            </w:r>
          </w:p>
        </w:tc>
        <w:tc>
          <w:tcPr>
            <w:tcW w:w="1226" w:type="dxa"/>
            <w:tcBorders>
              <w:top w:val="nil"/>
              <w:left w:val="nil"/>
              <w:bottom w:val="nil"/>
              <w:right w:val="nil"/>
            </w:tcBorders>
            <w:shd w:val="clear" w:color="000000" w:fill="FFFFFF"/>
            <w:noWrap/>
            <w:vAlign w:val="bottom"/>
            <w:hideMark/>
          </w:tcPr>
          <w:p w14:paraId="29BC5D91" w14:textId="3DAEC0AA"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EM ex KW</w:t>
            </w:r>
            <w:r w:rsidR="00425A21">
              <w:rPr>
                <w:rFonts w:ascii="Calibri" w:eastAsia="Times New Roman" w:hAnsi="Calibri" w:cs="Calibri"/>
                <w:color w:val="000000"/>
              </w:rPr>
              <w:t>T</w:t>
            </w:r>
          </w:p>
        </w:tc>
        <w:tc>
          <w:tcPr>
            <w:tcW w:w="1226" w:type="dxa"/>
            <w:tcBorders>
              <w:top w:val="nil"/>
              <w:left w:val="nil"/>
              <w:bottom w:val="nil"/>
              <w:right w:val="nil"/>
            </w:tcBorders>
            <w:shd w:val="clear" w:color="000000" w:fill="FFFFFF"/>
            <w:noWrap/>
            <w:vAlign w:val="bottom"/>
            <w:hideMark/>
          </w:tcPr>
          <w:p w14:paraId="3A5E50B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BTV&gt;0</w:t>
            </w:r>
          </w:p>
        </w:tc>
        <w:tc>
          <w:tcPr>
            <w:tcW w:w="1226" w:type="dxa"/>
            <w:tcBorders>
              <w:top w:val="nil"/>
              <w:left w:val="nil"/>
              <w:bottom w:val="nil"/>
              <w:right w:val="nil"/>
            </w:tcBorders>
            <w:shd w:val="clear" w:color="000000" w:fill="FFFFFF"/>
            <w:noWrap/>
            <w:vAlign w:val="bottom"/>
            <w:hideMark/>
          </w:tcPr>
          <w:p w14:paraId="4F4AD8B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BTV&lt;0</w:t>
            </w:r>
          </w:p>
        </w:tc>
      </w:tr>
      <w:tr w:rsidR="005C1F3E" w:rsidRPr="00F17DC1" w14:paraId="19C81E69" w14:textId="77777777" w:rsidTr="0079220F">
        <w:trPr>
          <w:trHeight w:val="290"/>
        </w:trPr>
        <w:tc>
          <w:tcPr>
            <w:tcW w:w="2709" w:type="dxa"/>
            <w:tcBorders>
              <w:top w:val="nil"/>
              <w:left w:val="nil"/>
              <w:bottom w:val="nil"/>
              <w:right w:val="nil"/>
            </w:tcBorders>
            <w:shd w:val="clear" w:color="000000" w:fill="FFFFFF"/>
            <w:noWrap/>
            <w:vAlign w:val="bottom"/>
            <w:hideMark/>
          </w:tcPr>
          <w:p w14:paraId="42E69C8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240EE75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6ACEC73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9BD0FB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0511138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7B2734C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2A1F9C9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4E84C9F0" w14:textId="77777777" w:rsidTr="0079220F">
        <w:trPr>
          <w:trHeight w:val="290"/>
        </w:trPr>
        <w:tc>
          <w:tcPr>
            <w:tcW w:w="2709" w:type="dxa"/>
            <w:tcBorders>
              <w:top w:val="nil"/>
              <w:left w:val="nil"/>
              <w:bottom w:val="nil"/>
              <w:right w:val="nil"/>
            </w:tcBorders>
            <w:shd w:val="clear" w:color="000000" w:fill="FFFFFF"/>
            <w:noWrap/>
            <w:vAlign w:val="bottom"/>
            <w:hideMark/>
          </w:tcPr>
          <w:p w14:paraId="2D4360C9" w14:textId="5D8E5760"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Current account balance </w:t>
            </w:r>
          </w:p>
        </w:tc>
        <w:tc>
          <w:tcPr>
            <w:tcW w:w="1241" w:type="dxa"/>
            <w:gridSpan w:val="2"/>
            <w:tcBorders>
              <w:top w:val="nil"/>
              <w:left w:val="nil"/>
              <w:bottom w:val="nil"/>
              <w:right w:val="nil"/>
            </w:tcBorders>
            <w:shd w:val="clear" w:color="000000" w:fill="FFFFFF"/>
            <w:noWrap/>
            <w:vAlign w:val="bottom"/>
            <w:hideMark/>
          </w:tcPr>
          <w:p w14:paraId="0CE4D32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-0.162***</w:t>
            </w:r>
          </w:p>
        </w:tc>
        <w:tc>
          <w:tcPr>
            <w:tcW w:w="1226" w:type="dxa"/>
            <w:tcBorders>
              <w:top w:val="nil"/>
              <w:left w:val="nil"/>
              <w:bottom w:val="nil"/>
              <w:right w:val="nil"/>
            </w:tcBorders>
            <w:shd w:val="clear" w:color="000000" w:fill="FFFFFF"/>
            <w:noWrap/>
            <w:vAlign w:val="bottom"/>
            <w:hideMark/>
          </w:tcPr>
          <w:p w14:paraId="4185CB6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-0.186***</w:t>
            </w:r>
          </w:p>
        </w:tc>
        <w:tc>
          <w:tcPr>
            <w:tcW w:w="1226" w:type="dxa"/>
            <w:tcBorders>
              <w:top w:val="nil"/>
              <w:left w:val="nil"/>
              <w:bottom w:val="nil"/>
              <w:right w:val="nil"/>
            </w:tcBorders>
            <w:shd w:val="clear" w:color="000000" w:fill="FFFFFF"/>
            <w:noWrap/>
            <w:vAlign w:val="bottom"/>
            <w:hideMark/>
          </w:tcPr>
          <w:p w14:paraId="44D9CDE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-0.178**</w:t>
            </w:r>
          </w:p>
        </w:tc>
        <w:tc>
          <w:tcPr>
            <w:tcW w:w="1226" w:type="dxa"/>
            <w:tcBorders>
              <w:top w:val="nil"/>
              <w:left w:val="nil"/>
              <w:bottom w:val="nil"/>
              <w:right w:val="nil"/>
            </w:tcBorders>
            <w:shd w:val="clear" w:color="000000" w:fill="FFFFFF"/>
            <w:noWrap/>
            <w:vAlign w:val="bottom"/>
            <w:hideMark/>
          </w:tcPr>
          <w:p w14:paraId="72BD887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-0.170**</w:t>
            </w:r>
          </w:p>
        </w:tc>
        <w:tc>
          <w:tcPr>
            <w:tcW w:w="1226" w:type="dxa"/>
            <w:tcBorders>
              <w:top w:val="nil"/>
              <w:left w:val="nil"/>
              <w:bottom w:val="nil"/>
              <w:right w:val="nil"/>
            </w:tcBorders>
            <w:shd w:val="clear" w:color="000000" w:fill="FFFFFF"/>
            <w:noWrap/>
            <w:vAlign w:val="bottom"/>
            <w:hideMark/>
          </w:tcPr>
          <w:p w14:paraId="6C29EE4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-0.132</w:t>
            </w:r>
          </w:p>
        </w:tc>
        <w:tc>
          <w:tcPr>
            <w:tcW w:w="1226" w:type="dxa"/>
            <w:tcBorders>
              <w:top w:val="nil"/>
              <w:left w:val="nil"/>
              <w:bottom w:val="nil"/>
              <w:right w:val="nil"/>
            </w:tcBorders>
            <w:shd w:val="clear" w:color="000000" w:fill="FFFFFF"/>
            <w:noWrap/>
            <w:vAlign w:val="bottom"/>
            <w:hideMark/>
          </w:tcPr>
          <w:p w14:paraId="1FA66BD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-0.270***</w:t>
            </w:r>
          </w:p>
        </w:tc>
      </w:tr>
      <w:tr w:rsidR="005C1F3E" w:rsidRPr="00F17DC1" w14:paraId="4F5B1321" w14:textId="77777777" w:rsidTr="0079220F">
        <w:trPr>
          <w:trHeight w:val="290"/>
        </w:trPr>
        <w:tc>
          <w:tcPr>
            <w:tcW w:w="2709" w:type="dxa"/>
            <w:tcBorders>
              <w:top w:val="nil"/>
              <w:left w:val="nil"/>
              <w:bottom w:val="nil"/>
              <w:right w:val="nil"/>
            </w:tcBorders>
            <w:shd w:val="clear" w:color="000000" w:fill="FFFFFF"/>
            <w:noWrap/>
            <w:vAlign w:val="bottom"/>
            <w:hideMark/>
          </w:tcPr>
          <w:p w14:paraId="5743CF0F" w14:textId="38BAE880"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r w:rsidR="005E19E0" w:rsidRPr="00F17DC1">
              <w:rPr>
                <w:rFonts w:ascii="Calibri" w:eastAsia="Times New Roman" w:hAnsi="Calibri" w:cs="Calibri"/>
                <w:color w:val="000000"/>
              </w:rPr>
              <w:t>(pct of GDP, 2015-19)</w:t>
            </w:r>
          </w:p>
        </w:tc>
        <w:tc>
          <w:tcPr>
            <w:tcW w:w="1241" w:type="dxa"/>
            <w:gridSpan w:val="2"/>
            <w:tcBorders>
              <w:top w:val="nil"/>
              <w:left w:val="nil"/>
              <w:bottom w:val="nil"/>
              <w:right w:val="nil"/>
            </w:tcBorders>
            <w:shd w:val="clear" w:color="000000" w:fill="FFFFFF"/>
            <w:noWrap/>
            <w:vAlign w:val="bottom"/>
            <w:hideMark/>
          </w:tcPr>
          <w:p w14:paraId="5F6B483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(-2.67)</w:t>
            </w:r>
          </w:p>
        </w:tc>
        <w:tc>
          <w:tcPr>
            <w:tcW w:w="1226" w:type="dxa"/>
            <w:tcBorders>
              <w:top w:val="nil"/>
              <w:left w:val="nil"/>
              <w:bottom w:val="nil"/>
              <w:right w:val="nil"/>
            </w:tcBorders>
            <w:shd w:val="clear" w:color="000000" w:fill="FFFFFF"/>
            <w:noWrap/>
            <w:vAlign w:val="bottom"/>
            <w:hideMark/>
          </w:tcPr>
          <w:p w14:paraId="31BF4B8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(-3.07)</w:t>
            </w:r>
          </w:p>
        </w:tc>
        <w:tc>
          <w:tcPr>
            <w:tcW w:w="1226" w:type="dxa"/>
            <w:tcBorders>
              <w:top w:val="nil"/>
              <w:left w:val="nil"/>
              <w:bottom w:val="nil"/>
              <w:right w:val="nil"/>
            </w:tcBorders>
            <w:shd w:val="clear" w:color="000000" w:fill="FFFFFF"/>
            <w:noWrap/>
            <w:vAlign w:val="bottom"/>
            <w:hideMark/>
          </w:tcPr>
          <w:p w14:paraId="12C1BEE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(-2.30)</w:t>
            </w:r>
          </w:p>
        </w:tc>
        <w:tc>
          <w:tcPr>
            <w:tcW w:w="1226" w:type="dxa"/>
            <w:tcBorders>
              <w:top w:val="nil"/>
              <w:left w:val="nil"/>
              <w:bottom w:val="nil"/>
              <w:right w:val="nil"/>
            </w:tcBorders>
            <w:shd w:val="clear" w:color="000000" w:fill="FFFFFF"/>
            <w:noWrap/>
            <w:vAlign w:val="bottom"/>
            <w:hideMark/>
          </w:tcPr>
          <w:p w14:paraId="2DC49E1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(-2.22)</w:t>
            </w:r>
          </w:p>
        </w:tc>
        <w:tc>
          <w:tcPr>
            <w:tcW w:w="1226" w:type="dxa"/>
            <w:tcBorders>
              <w:top w:val="nil"/>
              <w:left w:val="nil"/>
              <w:bottom w:val="nil"/>
              <w:right w:val="nil"/>
            </w:tcBorders>
            <w:shd w:val="clear" w:color="000000" w:fill="FFFFFF"/>
            <w:noWrap/>
            <w:vAlign w:val="bottom"/>
            <w:hideMark/>
          </w:tcPr>
          <w:p w14:paraId="6AF1EF2F"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(-1.62)</w:t>
            </w:r>
          </w:p>
        </w:tc>
        <w:tc>
          <w:tcPr>
            <w:tcW w:w="1226" w:type="dxa"/>
            <w:tcBorders>
              <w:top w:val="nil"/>
              <w:left w:val="nil"/>
              <w:bottom w:val="nil"/>
              <w:right w:val="nil"/>
            </w:tcBorders>
            <w:shd w:val="clear" w:color="000000" w:fill="FFFFFF"/>
            <w:noWrap/>
            <w:vAlign w:val="bottom"/>
            <w:hideMark/>
          </w:tcPr>
          <w:p w14:paraId="5E71D09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(-3.24)</w:t>
            </w:r>
          </w:p>
        </w:tc>
      </w:tr>
      <w:tr w:rsidR="005C1F3E" w:rsidRPr="00F17DC1" w14:paraId="1F4BDCFE" w14:textId="77777777" w:rsidTr="0079220F">
        <w:trPr>
          <w:trHeight w:val="290"/>
        </w:trPr>
        <w:tc>
          <w:tcPr>
            <w:tcW w:w="2709" w:type="dxa"/>
            <w:tcBorders>
              <w:top w:val="nil"/>
              <w:left w:val="nil"/>
              <w:bottom w:val="nil"/>
              <w:right w:val="nil"/>
            </w:tcBorders>
            <w:shd w:val="clear" w:color="000000" w:fill="FFFFFF"/>
            <w:noWrap/>
            <w:vAlign w:val="bottom"/>
            <w:hideMark/>
          </w:tcPr>
          <w:p w14:paraId="73F9CBA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5105B5E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631F633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462DECB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6ADF7AC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A77058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631B099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2DA27AC1" w14:textId="77777777" w:rsidTr="0079220F">
        <w:trPr>
          <w:trHeight w:val="290"/>
        </w:trPr>
        <w:tc>
          <w:tcPr>
            <w:tcW w:w="2709" w:type="dxa"/>
            <w:tcBorders>
              <w:top w:val="nil"/>
              <w:left w:val="nil"/>
              <w:bottom w:val="nil"/>
              <w:right w:val="nil"/>
            </w:tcBorders>
            <w:shd w:val="clear" w:color="000000" w:fill="FFFFFF"/>
            <w:noWrap/>
            <w:vAlign w:val="bottom"/>
            <w:hideMark/>
          </w:tcPr>
          <w:p w14:paraId="3C69CEC5" w14:textId="08AD7EB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Oil balance </w:t>
            </w:r>
          </w:p>
        </w:tc>
        <w:tc>
          <w:tcPr>
            <w:tcW w:w="1241" w:type="dxa"/>
            <w:gridSpan w:val="2"/>
            <w:tcBorders>
              <w:top w:val="nil"/>
              <w:left w:val="nil"/>
              <w:bottom w:val="nil"/>
              <w:right w:val="nil"/>
            </w:tcBorders>
            <w:shd w:val="clear" w:color="000000" w:fill="FFFFFF"/>
            <w:noWrap/>
            <w:vAlign w:val="bottom"/>
            <w:hideMark/>
          </w:tcPr>
          <w:p w14:paraId="422E34E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-0.125</w:t>
            </w:r>
          </w:p>
        </w:tc>
        <w:tc>
          <w:tcPr>
            <w:tcW w:w="1226" w:type="dxa"/>
            <w:tcBorders>
              <w:top w:val="nil"/>
              <w:left w:val="nil"/>
              <w:bottom w:val="nil"/>
              <w:right w:val="nil"/>
            </w:tcBorders>
            <w:shd w:val="clear" w:color="000000" w:fill="FFFFFF"/>
            <w:noWrap/>
            <w:vAlign w:val="bottom"/>
            <w:hideMark/>
          </w:tcPr>
          <w:p w14:paraId="01AF895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-0.229***</w:t>
            </w:r>
          </w:p>
        </w:tc>
        <w:tc>
          <w:tcPr>
            <w:tcW w:w="1226" w:type="dxa"/>
            <w:tcBorders>
              <w:top w:val="nil"/>
              <w:left w:val="nil"/>
              <w:bottom w:val="nil"/>
              <w:right w:val="nil"/>
            </w:tcBorders>
            <w:shd w:val="clear" w:color="000000" w:fill="FFFFFF"/>
            <w:noWrap/>
            <w:vAlign w:val="bottom"/>
            <w:hideMark/>
          </w:tcPr>
          <w:p w14:paraId="46355E4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-0.532***</w:t>
            </w:r>
          </w:p>
        </w:tc>
        <w:tc>
          <w:tcPr>
            <w:tcW w:w="1226" w:type="dxa"/>
            <w:tcBorders>
              <w:top w:val="nil"/>
              <w:left w:val="nil"/>
              <w:bottom w:val="nil"/>
              <w:right w:val="nil"/>
            </w:tcBorders>
            <w:shd w:val="clear" w:color="000000" w:fill="FFFFFF"/>
            <w:noWrap/>
            <w:vAlign w:val="bottom"/>
            <w:hideMark/>
          </w:tcPr>
          <w:p w14:paraId="086F553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-0.231***</w:t>
            </w:r>
          </w:p>
        </w:tc>
        <w:tc>
          <w:tcPr>
            <w:tcW w:w="1226" w:type="dxa"/>
            <w:tcBorders>
              <w:top w:val="nil"/>
              <w:left w:val="nil"/>
              <w:bottom w:val="nil"/>
              <w:right w:val="nil"/>
            </w:tcBorders>
            <w:shd w:val="clear" w:color="000000" w:fill="FFFFFF"/>
            <w:noWrap/>
            <w:vAlign w:val="bottom"/>
            <w:hideMark/>
          </w:tcPr>
          <w:p w14:paraId="3224F40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-0.265***</w:t>
            </w:r>
          </w:p>
        </w:tc>
        <w:tc>
          <w:tcPr>
            <w:tcW w:w="1226" w:type="dxa"/>
            <w:tcBorders>
              <w:top w:val="nil"/>
              <w:left w:val="nil"/>
              <w:bottom w:val="nil"/>
              <w:right w:val="nil"/>
            </w:tcBorders>
            <w:shd w:val="clear" w:color="000000" w:fill="FFFFFF"/>
            <w:noWrap/>
            <w:vAlign w:val="bottom"/>
            <w:hideMark/>
          </w:tcPr>
          <w:p w14:paraId="4EB26A3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-0.223***</w:t>
            </w:r>
          </w:p>
        </w:tc>
      </w:tr>
      <w:tr w:rsidR="005C1F3E" w:rsidRPr="00F17DC1" w14:paraId="7DA4F118" w14:textId="77777777" w:rsidTr="0079220F">
        <w:trPr>
          <w:trHeight w:val="290"/>
        </w:trPr>
        <w:tc>
          <w:tcPr>
            <w:tcW w:w="2709" w:type="dxa"/>
            <w:tcBorders>
              <w:top w:val="nil"/>
              <w:left w:val="nil"/>
              <w:bottom w:val="nil"/>
              <w:right w:val="nil"/>
            </w:tcBorders>
            <w:shd w:val="clear" w:color="000000" w:fill="FFFFFF"/>
            <w:noWrap/>
            <w:vAlign w:val="bottom"/>
            <w:hideMark/>
          </w:tcPr>
          <w:p w14:paraId="4D4C1AB9" w14:textId="02E2EBE1"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r w:rsidR="005E19E0" w:rsidRPr="00F17DC1">
              <w:rPr>
                <w:rFonts w:ascii="Calibri" w:eastAsia="Times New Roman" w:hAnsi="Calibri" w:cs="Calibri"/>
                <w:color w:val="000000"/>
              </w:rPr>
              <w:t>(pct of GDP, 2015-19)</w:t>
            </w:r>
          </w:p>
        </w:tc>
        <w:tc>
          <w:tcPr>
            <w:tcW w:w="1241" w:type="dxa"/>
            <w:gridSpan w:val="2"/>
            <w:tcBorders>
              <w:top w:val="nil"/>
              <w:left w:val="nil"/>
              <w:bottom w:val="nil"/>
              <w:right w:val="nil"/>
            </w:tcBorders>
            <w:shd w:val="clear" w:color="000000" w:fill="FFFFFF"/>
            <w:noWrap/>
            <w:vAlign w:val="bottom"/>
            <w:hideMark/>
          </w:tcPr>
          <w:p w14:paraId="7BAA188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(-1.33)</w:t>
            </w:r>
          </w:p>
        </w:tc>
        <w:tc>
          <w:tcPr>
            <w:tcW w:w="1226" w:type="dxa"/>
            <w:tcBorders>
              <w:top w:val="nil"/>
              <w:left w:val="nil"/>
              <w:bottom w:val="nil"/>
              <w:right w:val="nil"/>
            </w:tcBorders>
            <w:shd w:val="clear" w:color="000000" w:fill="FFFFFF"/>
            <w:noWrap/>
            <w:vAlign w:val="bottom"/>
            <w:hideMark/>
          </w:tcPr>
          <w:p w14:paraId="477BCD6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(-8.16)</w:t>
            </w:r>
          </w:p>
        </w:tc>
        <w:tc>
          <w:tcPr>
            <w:tcW w:w="1226" w:type="dxa"/>
            <w:tcBorders>
              <w:top w:val="nil"/>
              <w:left w:val="nil"/>
              <w:bottom w:val="nil"/>
              <w:right w:val="nil"/>
            </w:tcBorders>
            <w:shd w:val="clear" w:color="000000" w:fill="FFFFFF"/>
            <w:noWrap/>
            <w:vAlign w:val="bottom"/>
            <w:hideMark/>
          </w:tcPr>
          <w:p w14:paraId="7383EB0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(-4.60)</w:t>
            </w:r>
          </w:p>
        </w:tc>
        <w:tc>
          <w:tcPr>
            <w:tcW w:w="1226" w:type="dxa"/>
            <w:tcBorders>
              <w:top w:val="nil"/>
              <w:left w:val="nil"/>
              <w:bottom w:val="nil"/>
              <w:right w:val="nil"/>
            </w:tcBorders>
            <w:shd w:val="clear" w:color="000000" w:fill="FFFFFF"/>
            <w:noWrap/>
            <w:vAlign w:val="bottom"/>
            <w:hideMark/>
          </w:tcPr>
          <w:p w14:paraId="26DBE94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(-7.16)</w:t>
            </w:r>
          </w:p>
        </w:tc>
        <w:tc>
          <w:tcPr>
            <w:tcW w:w="1226" w:type="dxa"/>
            <w:tcBorders>
              <w:top w:val="nil"/>
              <w:left w:val="nil"/>
              <w:bottom w:val="nil"/>
              <w:right w:val="nil"/>
            </w:tcBorders>
            <w:shd w:val="clear" w:color="000000" w:fill="FFFFFF"/>
            <w:noWrap/>
            <w:vAlign w:val="bottom"/>
            <w:hideMark/>
          </w:tcPr>
          <w:p w14:paraId="5D91D15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(-3.39)</w:t>
            </w:r>
          </w:p>
        </w:tc>
        <w:tc>
          <w:tcPr>
            <w:tcW w:w="1226" w:type="dxa"/>
            <w:tcBorders>
              <w:top w:val="nil"/>
              <w:left w:val="nil"/>
              <w:bottom w:val="nil"/>
              <w:right w:val="nil"/>
            </w:tcBorders>
            <w:shd w:val="clear" w:color="000000" w:fill="FFFFFF"/>
            <w:noWrap/>
            <w:vAlign w:val="bottom"/>
            <w:hideMark/>
          </w:tcPr>
          <w:p w14:paraId="3E19C4F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(-8.00)</w:t>
            </w:r>
          </w:p>
        </w:tc>
      </w:tr>
      <w:tr w:rsidR="005C1F3E" w:rsidRPr="00F17DC1" w14:paraId="7A6B87E6" w14:textId="77777777" w:rsidTr="0079220F">
        <w:trPr>
          <w:trHeight w:val="290"/>
        </w:trPr>
        <w:tc>
          <w:tcPr>
            <w:tcW w:w="2709" w:type="dxa"/>
            <w:tcBorders>
              <w:top w:val="nil"/>
              <w:left w:val="nil"/>
              <w:bottom w:val="nil"/>
              <w:right w:val="nil"/>
            </w:tcBorders>
            <w:shd w:val="clear" w:color="000000" w:fill="FFFFFF"/>
            <w:noWrap/>
            <w:vAlign w:val="bottom"/>
            <w:hideMark/>
          </w:tcPr>
          <w:p w14:paraId="3BC2119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1F2AA375"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41CD76C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0253724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56533B5F"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52198CD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393D297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11DC0558" w14:textId="77777777" w:rsidTr="0079220F">
        <w:trPr>
          <w:trHeight w:val="290"/>
        </w:trPr>
        <w:tc>
          <w:tcPr>
            <w:tcW w:w="2709" w:type="dxa"/>
            <w:tcBorders>
              <w:top w:val="nil"/>
              <w:left w:val="nil"/>
              <w:bottom w:val="nil"/>
              <w:right w:val="nil"/>
            </w:tcBorders>
            <w:shd w:val="clear" w:color="000000" w:fill="FFFFFF"/>
            <w:noWrap/>
            <w:vAlign w:val="bottom"/>
            <w:hideMark/>
          </w:tcPr>
          <w:p w14:paraId="0A497712" w14:textId="2CF597AC"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Net rev. from int. travel </w:t>
            </w:r>
          </w:p>
        </w:tc>
        <w:tc>
          <w:tcPr>
            <w:tcW w:w="1241" w:type="dxa"/>
            <w:gridSpan w:val="2"/>
            <w:tcBorders>
              <w:top w:val="nil"/>
              <w:left w:val="nil"/>
              <w:bottom w:val="nil"/>
              <w:right w:val="nil"/>
            </w:tcBorders>
            <w:shd w:val="clear" w:color="000000" w:fill="FFFFFF"/>
            <w:noWrap/>
            <w:vAlign w:val="bottom"/>
            <w:hideMark/>
          </w:tcPr>
          <w:p w14:paraId="3F69B26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-0.335***</w:t>
            </w:r>
          </w:p>
        </w:tc>
        <w:tc>
          <w:tcPr>
            <w:tcW w:w="1226" w:type="dxa"/>
            <w:tcBorders>
              <w:top w:val="nil"/>
              <w:left w:val="nil"/>
              <w:bottom w:val="nil"/>
              <w:right w:val="nil"/>
            </w:tcBorders>
            <w:shd w:val="clear" w:color="000000" w:fill="FFFFFF"/>
            <w:noWrap/>
            <w:vAlign w:val="bottom"/>
            <w:hideMark/>
          </w:tcPr>
          <w:p w14:paraId="54EDCA1F"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-0.340***</w:t>
            </w:r>
          </w:p>
        </w:tc>
        <w:tc>
          <w:tcPr>
            <w:tcW w:w="1226" w:type="dxa"/>
            <w:tcBorders>
              <w:top w:val="nil"/>
              <w:left w:val="nil"/>
              <w:bottom w:val="nil"/>
              <w:right w:val="nil"/>
            </w:tcBorders>
            <w:shd w:val="clear" w:color="000000" w:fill="FFFFFF"/>
            <w:noWrap/>
            <w:vAlign w:val="bottom"/>
            <w:hideMark/>
          </w:tcPr>
          <w:p w14:paraId="416FE3A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-0.961***</w:t>
            </w:r>
          </w:p>
        </w:tc>
        <w:tc>
          <w:tcPr>
            <w:tcW w:w="1226" w:type="dxa"/>
            <w:tcBorders>
              <w:top w:val="nil"/>
              <w:left w:val="nil"/>
              <w:bottom w:val="nil"/>
              <w:right w:val="nil"/>
            </w:tcBorders>
            <w:shd w:val="clear" w:color="000000" w:fill="FFFFFF"/>
            <w:noWrap/>
            <w:vAlign w:val="bottom"/>
            <w:hideMark/>
          </w:tcPr>
          <w:p w14:paraId="7C7D2FB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-0.332***</w:t>
            </w:r>
          </w:p>
        </w:tc>
        <w:tc>
          <w:tcPr>
            <w:tcW w:w="1226" w:type="dxa"/>
            <w:tcBorders>
              <w:top w:val="nil"/>
              <w:left w:val="nil"/>
              <w:bottom w:val="nil"/>
              <w:right w:val="nil"/>
            </w:tcBorders>
            <w:shd w:val="clear" w:color="000000" w:fill="FFFFFF"/>
            <w:noWrap/>
            <w:vAlign w:val="bottom"/>
            <w:hideMark/>
          </w:tcPr>
          <w:p w14:paraId="699C8C9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-0.328***</w:t>
            </w:r>
          </w:p>
        </w:tc>
        <w:tc>
          <w:tcPr>
            <w:tcW w:w="1226" w:type="dxa"/>
            <w:tcBorders>
              <w:top w:val="nil"/>
              <w:left w:val="nil"/>
              <w:bottom w:val="nil"/>
              <w:right w:val="nil"/>
            </w:tcBorders>
            <w:shd w:val="clear" w:color="000000" w:fill="FFFFFF"/>
            <w:noWrap/>
            <w:vAlign w:val="bottom"/>
            <w:hideMark/>
          </w:tcPr>
          <w:p w14:paraId="35C9981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-0.109</w:t>
            </w:r>
          </w:p>
        </w:tc>
      </w:tr>
      <w:tr w:rsidR="005C1F3E" w:rsidRPr="00F17DC1" w14:paraId="283787B8" w14:textId="77777777" w:rsidTr="0079220F">
        <w:trPr>
          <w:trHeight w:val="290"/>
        </w:trPr>
        <w:tc>
          <w:tcPr>
            <w:tcW w:w="2709" w:type="dxa"/>
            <w:tcBorders>
              <w:top w:val="nil"/>
              <w:left w:val="nil"/>
              <w:bottom w:val="nil"/>
              <w:right w:val="nil"/>
            </w:tcBorders>
            <w:shd w:val="clear" w:color="000000" w:fill="FFFFFF"/>
            <w:noWrap/>
            <w:vAlign w:val="bottom"/>
            <w:hideMark/>
          </w:tcPr>
          <w:p w14:paraId="40C5BEC9" w14:textId="64C85EA0"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r w:rsidR="005E19E0" w:rsidRPr="00F17DC1">
              <w:rPr>
                <w:rFonts w:ascii="Calibri" w:eastAsia="Times New Roman" w:hAnsi="Calibri" w:cs="Calibri"/>
                <w:color w:val="000000"/>
              </w:rPr>
              <w:t>(pct of GDP, 2015-19)</w:t>
            </w:r>
          </w:p>
        </w:tc>
        <w:tc>
          <w:tcPr>
            <w:tcW w:w="1241" w:type="dxa"/>
            <w:gridSpan w:val="2"/>
            <w:tcBorders>
              <w:top w:val="nil"/>
              <w:left w:val="nil"/>
              <w:bottom w:val="nil"/>
              <w:right w:val="nil"/>
            </w:tcBorders>
            <w:shd w:val="clear" w:color="000000" w:fill="FFFFFF"/>
            <w:noWrap/>
            <w:vAlign w:val="bottom"/>
            <w:hideMark/>
          </w:tcPr>
          <w:p w14:paraId="7D34F93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(-5.76)</w:t>
            </w:r>
          </w:p>
        </w:tc>
        <w:tc>
          <w:tcPr>
            <w:tcW w:w="1226" w:type="dxa"/>
            <w:tcBorders>
              <w:top w:val="nil"/>
              <w:left w:val="nil"/>
              <w:bottom w:val="nil"/>
              <w:right w:val="nil"/>
            </w:tcBorders>
            <w:shd w:val="clear" w:color="000000" w:fill="FFFFFF"/>
            <w:noWrap/>
            <w:vAlign w:val="bottom"/>
            <w:hideMark/>
          </w:tcPr>
          <w:p w14:paraId="744A794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(-6.02)</w:t>
            </w:r>
          </w:p>
        </w:tc>
        <w:tc>
          <w:tcPr>
            <w:tcW w:w="1226" w:type="dxa"/>
            <w:tcBorders>
              <w:top w:val="nil"/>
              <w:left w:val="nil"/>
              <w:bottom w:val="nil"/>
              <w:right w:val="nil"/>
            </w:tcBorders>
            <w:shd w:val="clear" w:color="000000" w:fill="FFFFFF"/>
            <w:noWrap/>
            <w:vAlign w:val="bottom"/>
            <w:hideMark/>
          </w:tcPr>
          <w:p w14:paraId="681C0DE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(-5.66)</w:t>
            </w:r>
          </w:p>
        </w:tc>
        <w:tc>
          <w:tcPr>
            <w:tcW w:w="1226" w:type="dxa"/>
            <w:tcBorders>
              <w:top w:val="nil"/>
              <w:left w:val="nil"/>
              <w:bottom w:val="nil"/>
              <w:right w:val="nil"/>
            </w:tcBorders>
            <w:shd w:val="clear" w:color="000000" w:fill="FFFFFF"/>
            <w:noWrap/>
            <w:vAlign w:val="bottom"/>
            <w:hideMark/>
          </w:tcPr>
          <w:p w14:paraId="174D76A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(-5.81)</w:t>
            </w:r>
          </w:p>
        </w:tc>
        <w:tc>
          <w:tcPr>
            <w:tcW w:w="1226" w:type="dxa"/>
            <w:tcBorders>
              <w:top w:val="nil"/>
              <w:left w:val="nil"/>
              <w:bottom w:val="nil"/>
              <w:right w:val="nil"/>
            </w:tcBorders>
            <w:shd w:val="clear" w:color="000000" w:fill="FFFFFF"/>
            <w:noWrap/>
            <w:vAlign w:val="bottom"/>
            <w:hideMark/>
          </w:tcPr>
          <w:p w14:paraId="11CD156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(-5.32)</w:t>
            </w:r>
          </w:p>
        </w:tc>
        <w:tc>
          <w:tcPr>
            <w:tcW w:w="1226" w:type="dxa"/>
            <w:tcBorders>
              <w:top w:val="nil"/>
              <w:left w:val="nil"/>
              <w:bottom w:val="nil"/>
              <w:right w:val="nil"/>
            </w:tcBorders>
            <w:shd w:val="clear" w:color="000000" w:fill="FFFFFF"/>
            <w:noWrap/>
            <w:vAlign w:val="bottom"/>
            <w:hideMark/>
          </w:tcPr>
          <w:p w14:paraId="03BA96C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(-0.51)</w:t>
            </w:r>
          </w:p>
        </w:tc>
      </w:tr>
      <w:tr w:rsidR="005C1F3E" w:rsidRPr="00F17DC1" w14:paraId="7999FB59" w14:textId="77777777" w:rsidTr="0079220F">
        <w:trPr>
          <w:trHeight w:val="290"/>
        </w:trPr>
        <w:tc>
          <w:tcPr>
            <w:tcW w:w="2709" w:type="dxa"/>
            <w:tcBorders>
              <w:top w:val="nil"/>
              <w:left w:val="nil"/>
              <w:bottom w:val="nil"/>
              <w:right w:val="nil"/>
            </w:tcBorders>
            <w:shd w:val="clear" w:color="000000" w:fill="FFFFFF"/>
            <w:noWrap/>
            <w:vAlign w:val="bottom"/>
            <w:hideMark/>
          </w:tcPr>
          <w:p w14:paraId="755E6A7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42285D0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2184EBA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0351E61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77F4306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6DF1E6E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743392F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5C384F3A" w14:textId="77777777" w:rsidTr="0079220F">
        <w:trPr>
          <w:trHeight w:val="290"/>
        </w:trPr>
        <w:tc>
          <w:tcPr>
            <w:tcW w:w="2709" w:type="dxa"/>
            <w:tcBorders>
              <w:top w:val="nil"/>
              <w:left w:val="nil"/>
              <w:bottom w:val="nil"/>
              <w:right w:val="nil"/>
            </w:tcBorders>
            <w:shd w:val="clear" w:color="000000" w:fill="FFFFFF"/>
            <w:noWrap/>
            <w:vAlign w:val="bottom"/>
            <w:hideMark/>
          </w:tcPr>
          <w:p w14:paraId="234C7BA5"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Constant</w:t>
            </w:r>
          </w:p>
        </w:tc>
        <w:tc>
          <w:tcPr>
            <w:tcW w:w="1241" w:type="dxa"/>
            <w:gridSpan w:val="2"/>
            <w:tcBorders>
              <w:top w:val="nil"/>
              <w:left w:val="nil"/>
              <w:bottom w:val="nil"/>
              <w:right w:val="nil"/>
            </w:tcBorders>
            <w:shd w:val="clear" w:color="000000" w:fill="FFFFFF"/>
            <w:noWrap/>
            <w:vAlign w:val="bottom"/>
            <w:hideMark/>
          </w:tcPr>
          <w:p w14:paraId="48303B9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1.123***</w:t>
            </w:r>
          </w:p>
        </w:tc>
        <w:tc>
          <w:tcPr>
            <w:tcW w:w="1226" w:type="dxa"/>
            <w:tcBorders>
              <w:top w:val="nil"/>
              <w:left w:val="nil"/>
              <w:bottom w:val="nil"/>
              <w:right w:val="nil"/>
            </w:tcBorders>
            <w:shd w:val="clear" w:color="000000" w:fill="FFFFFF"/>
            <w:noWrap/>
            <w:vAlign w:val="bottom"/>
            <w:hideMark/>
          </w:tcPr>
          <w:p w14:paraId="7D6AD0B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0.876**</w:t>
            </w:r>
          </w:p>
        </w:tc>
        <w:tc>
          <w:tcPr>
            <w:tcW w:w="1226" w:type="dxa"/>
            <w:tcBorders>
              <w:top w:val="nil"/>
              <w:left w:val="nil"/>
              <w:bottom w:val="nil"/>
              <w:right w:val="nil"/>
            </w:tcBorders>
            <w:shd w:val="clear" w:color="000000" w:fill="FFFFFF"/>
            <w:noWrap/>
            <w:vAlign w:val="bottom"/>
            <w:hideMark/>
          </w:tcPr>
          <w:p w14:paraId="05D6EE6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0.792</w:t>
            </w:r>
          </w:p>
        </w:tc>
        <w:tc>
          <w:tcPr>
            <w:tcW w:w="1226" w:type="dxa"/>
            <w:tcBorders>
              <w:top w:val="nil"/>
              <w:left w:val="nil"/>
              <w:bottom w:val="nil"/>
              <w:right w:val="nil"/>
            </w:tcBorders>
            <w:shd w:val="clear" w:color="000000" w:fill="FFFFFF"/>
            <w:noWrap/>
            <w:vAlign w:val="bottom"/>
            <w:hideMark/>
          </w:tcPr>
          <w:p w14:paraId="2184B61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1.052**</w:t>
            </w:r>
          </w:p>
        </w:tc>
        <w:tc>
          <w:tcPr>
            <w:tcW w:w="1226" w:type="dxa"/>
            <w:tcBorders>
              <w:top w:val="nil"/>
              <w:left w:val="nil"/>
              <w:bottom w:val="nil"/>
              <w:right w:val="nil"/>
            </w:tcBorders>
            <w:shd w:val="clear" w:color="000000" w:fill="FFFFFF"/>
            <w:noWrap/>
            <w:vAlign w:val="bottom"/>
            <w:hideMark/>
          </w:tcPr>
          <w:p w14:paraId="7B4B686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0.809*</w:t>
            </w:r>
          </w:p>
        </w:tc>
        <w:tc>
          <w:tcPr>
            <w:tcW w:w="1226" w:type="dxa"/>
            <w:tcBorders>
              <w:top w:val="nil"/>
              <w:left w:val="nil"/>
              <w:bottom w:val="nil"/>
              <w:right w:val="nil"/>
            </w:tcBorders>
            <w:shd w:val="clear" w:color="000000" w:fill="FFFFFF"/>
            <w:noWrap/>
            <w:vAlign w:val="bottom"/>
            <w:hideMark/>
          </w:tcPr>
          <w:p w14:paraId="16F1FB0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1.287**</w:t>
            </w:r>
          </w:p>
        </w:tc>
      </w:tr>
      <w:tr w:rsidR="005C1F3E" w:rsidRPr="00F17DC1" w14:paraId="4CF825E3" w14:textId="77777777" w:rsidTr="0079220F">
        <w:trPr>
          <w:trHeight w:val="290"/>
        </w:trPr>
        <w:tc>
          <w:tcPr>
            <w:tcW w:w="2709" w:type="dxa"/>
            <w:tcBorders>
              <w:top w:val="nil"/>
              <w:left w:val="nil"/>
              <w:bottom w:val="nil"/>
              <w:right w:val="nil"/>
            </w:tcBorders>
            <w:shd w:val="clear" w:color="000000" w:fill="FFFFFF"/>
            <w:noWrap/>
            <w:vAlign w:val="bottom"/>
            <w:hideMark/>
          </w:tcPr>
          <w:p w14:paraId="77443E6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101C046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(2.70)</w:t>
            </w:r>
          </w:p>
        </w:tc>
        <w:tc>
          <w:tcPr>
            <w:tcW w:w="1226" w:type="dxa"/>
            <w:tcBorders>
              <w:top w:val="nil"/>
              <w:left w:val="nil"/>
              <w:bottom w:val="nil"/>
              <w:right w:val="nil"/>
            </w:tcBorders>
            <w:shd w:val="clear" w:color="000000" w:fill="FFFFFF"/>
            <w:noWrap/>
            <w:vAlign w:val="bottom"/>
            <w:hideMark/>
          </w:tcPr>
          <w:p w14:paraId="1DE2132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(2.52)</w:t>
            </w:r>
          </w:p>
        </w:tc>
        <w:tc>
          <w:tcPr>
            <w:tcW w:w="1226" w:type="dxa"/>
            <w:tcBorders>
              <w:top w:val="nil"/>
              <w:left w:val="nil"/>
              <w:bottom w:val="nil"/>
              <w:right w:val="nil"/>
            </w:tcBorders>
            <w:shd w:val="clear" w:color="000000" w:fill="FFFFFF"/>
            <w:noWrap/>
            <w:vAlign w:val="bottom"/>
            <w:hideMark/>
          </w:tcPr>
          <w:p w14:paraId="05048A7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(1.60)</w:t>
            </w:r>
          </w:p>
        </w:tc>
        <w:tc>
          <w:tcPr>
            <w:tcW w:w="1226" w:type="dxa"/>
            <w:tcBorders>
              <w:top w:val="nil"/>
              <w:left w:val="nil"/>
              <w:bottom w:val="nil"/>
              <w:right w:val="nil"/>
            </w:tcBorders>
            <w:shd w:val="clear" w:color="000000" w:fill="FFFFFF"/>
            <w:noWrap/>
            <w:vAlign w:val="bottom"/>
            <w:hideMark/>
          </w:tcPr>
          <w:p w14:paraId="1A3FE66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(2.17)</w:t>
            </w:r>
          </w:p>
        </w:tc>
        <w:tc>
          <w:tcPr>
            <w:tcW w:w="1226" w:type="dxa"/>
            <w:tcBorders>
              <w:top w:val="nil"/>
              <w:left w:val="nil"/>
              <w:bottom w:val="nil"/>
              <w:right w:val="nil"/>
            </w:tcBorders>
            <w:shd w:val="clear" w:color="000000" w:fill="FFFFFF"/>
            <w:noWrap/>
            <w:vAlign w:val="bottom"/>
            <w:hideMark/>
          </w:tcPr>
          <w:p w14:paraId="2076864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(1.74)</w:t>
            </w:r>
          </w:p>
        </w:tc>
        <w:tc>
          <w:tcPr>
            <w:tcW w:w="1226" w:type="dxa"/>
            <w:tcBorders>
              <w:top w:val="nil"/>
              <w:left w:val="nil"/>
              <w:bottom w:val="nil"/>
              <w:right w:val="nil"/>
            </w:tcBorders>
            <w:shd w:val="clear" w:color="000000" w:fill="FFFFFF"/>
            <w:noWrap/>
            <w:vAlign w:val="bottom"/>
            <w:hideMark/>
          </w:tcPr>
          <w:p w14:paraId="7E097C7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(2.10)</w:t>
            </w:r>
          </w:p>
        </w:tc>
      </w:tr>
      <w:tr w:rsidR="005C1F3E" w:rsidRPr="00F17DC1" w14:paraId="71182302" w14:textId="77777777" w:rsidTr="0079220F">
        <w:trPr>
          <w:trHeight w:val="290"/>
        </w:trPr>
        <w:tc>
          <w:tcPr>
            <w:tcW w:w="2709" w:type="dxa"/>
            <w:tcBorders>
              <w:top w:val="nil"/>
              <w:left w:val="nil"/>
              <w:bottom w:val="nil"/>
              <w:right w:val="nil"/>
            </w:tcBorders>
            <w:shd w:val="clear" w:color="000000" w:fill="FFFFFF"/>
            <w:noWrap/>
            <w:vAlign w:val="bottom"/>
            <w:hideMark/>
          </w:tcPr>
          <w:p w14:paraId="66D254B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41" w:type="dxa"/>
            <w:gridSpan w:val="2"/>
            <w:tcBorders>
              <w:top w:val="nil"/>
              <w:left w:val="nil"/>
              <w:bottom w:val="nil"/>
              <w:right w:val="nil"/>
            </w:tcBorders>
            <w:shd w:val="clear" w:color="000000" w:fill="FFFFFF"/>
            <w:noWrap/>
            <w:vAlign w:val="bottom"/>
            <w:hideMark/>
          </w:tcPr>
          <w:p w14:paraId="2E082BB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0A812F3F"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8FE46B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6DEC01F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213797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028322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462146FF" w14:textId="77777777" w:rsidTr="0079220F">
        <w:trPr>
          <w:trHeight w:val="290"/>
        </w:trPr>
        <w:tc>
          <w:tcPr>
            <w:tcW w:w="2709" w:type="dxa"/>
            <w:tcBorders>
              <w:top w:val="nil"/>
              <w:left w:val="nil"/>
              <w:bottom w:val="nil"/>
              <w:right w:val="nil"/>
            </w:tcBorders>
            <w:shd w:val="clear" w:color="000000" w:fill="FFFFFF"/>
            <w:noWrap/>
            <w:vAlign w:val="bottom"/>
            <w:hideMark/>
          </w:tcPr>
          <w:p w14:paraId="4603E9B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Observations</w:t>
            </w:r>
          </w:p>
        </w:tc>
        <w:tc>
          <w:tcPr>
            <w:tcW w:w="1241" w:type="dxa"/>
            <w:gridSpan w:val="2"/>
            <w:tcBorders>
              <w:top w:val="nil"/>
              <w:left w:val="nil"/>
              <w:bottom w:val="nil"/>
              <w:right w:val="nil"/>
            </w:tcBorders>
            <w:shd w:val="clear" w:color="000000" w:fill="FFFFFF"/>
            <w:noWrap/>
            <w:vAlign w:val="bottom"/>
            <w:hideMark/>
          </w:tcPr>
          <w:p w14:paraId="1F298079"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130</w:t>
            </w:r>
          </w:p>
        </w:tc>
        <w:tc>
          <w:tcPr>
            <w:tcW w:w="1226" w:type="dxa"/>
            <w:tcBorders>
              <w:top w:val="nil"/>
              <w:left w:val="nil"/>
              <w:bottom w:val="nil"/>
              <w:right w:val="nil"/>
            </w:tcBorders>
            <w:shd w:val="clear" w:color="000000" w:fill="FFFFFF"/>
            <w:noWrap/>
            <w:vAlign w:val="bottom"/>
            <w:hideMark/>
          </w:tcPr>
          <w:p w14:paraId="163272E2"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129</w:t>
            </w:r>
          </w:p>
        </w:tc>
        <w:tc>
          <w:tcPr>
            <w:tcW w:w="1226" w:type="dxa"/>
            <w:tcBorders>
              <w:top w:val="nil"/>
              <w:left w:val="nil"/>
              <w:bottom w:val="nil"/>
              <w:right w:val="nil"/>
            </w:tcBorders>
            <w:shd w:val="clear" w:color="000000" w:fill="FFFFFF"/>
            <w:noWrap/>
            <w:vAlign w:val="bottom"/>
            <w:hideMark/>
          </w:tcPr>
          <w:p w14:paraId="286E022C"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36</w:t>
            </w:r>
          </w:p>
        </w:tc>
        <w:tc>
          <w:tcPr>
            <w:tcW w:w="1226" w:type="dxa"/>
            <w:tcBorders>
              <w:top w:val="nil"/>
              <w:left w:val="nil"/>
              <w:bottom w:val="nil"/>
              <w:right w:val="nil"/>
            </w:tcBorders>
            <w:shd w:val="clear" w:color="000000" w:fill="FFFFFF"/>
            <w:noWrap/>
            <w:vAlign w:val="bottom"/>
            <w:hideMark/>
          </w:tcPr>
          <w:p w14:paraId="1F56230F"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93</w:t>
            </w:r>
          </w:p>
        </w:tc>
        <w:tc>
          <w:tcPr>
            <w:tcW w:w="1226" w:type="dxa"/>
            <w:tcBorders>
              <w:top w:val="nil"/>
              <w:left w:val="nil"/>
              <w:bottom w:val="nil"/>
              <w:right w:val="nil"/>
            </w:tcBorders>
            <w:shd w:val="clear" w:color="000000" w:fill="FFFFFF"/>
            <w:noWrap/>
            <w:vAlign w:val="bottom"/>
            <w:hideMark/>
          </w:tcPr>
          <w:p w14:paraId="468BBE75"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87</w:t>
            </w:r>
          </w:p>
        </w:tc>
        <w:tc>
          <w:tcPr>
            <w:tcW w:w="1226" w:type="dxa"/>
            <w:tcBorders>
              <w:top w:val="nil"/>
              <w:left w:val="nil"/>
              <w:bottom w:val="nil"/>
              <w:right w:val="nil"/>
            </w:tcBorders>
            <w:shd w:val="clear" w:color="000000" w:fill="FFFFFF"/>
            <w:noWrap/>
            <w:vAlign w:val="bottom"/>
            <w:hideMark/>
          </w:tcPr>
          <w:p w14:paraId="7A165755"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42</w:t>
            </w:r>
          </w:p>
        </w:tc>
      </w:tr>
      <w:tr w:rsidR="005C1F3E" w:rsidRPr="00F17DC1" w14:paraId="7495BC04" w14:textId="77777777" w:rsidTr="0079220F">
        <w:trPr>
          <w:trHeight w:val="290"/>
        </w:trPr>
        <w:tc>
          <w:tcPr>
            <w:tcW w:w="2709" w:type="dxa"/>
            <w:tcBorders>
              <w:top w:val="nil"/>
              <w:left w:val="nil"/>
              <w:bottom w:val="nil"/>
              <w:right w:val="nil"/>
            </w:tcBorders>
            <w:shd w:val="clear" w:color="000000" w:fill="FFFFFF"/>
            <w:noWrap/>
            <w:vAlign w:val="bottom"/>
            <w:hideMark/>
          </w:tcPr>
          <w:p w14:paraId="05AD8CD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R-squared</w:t>
            </w:r>
          </w:p>
        </w:tc>
        <w:tc>
          <w:tcPr>
            <w:tcW w:w="1241" w:type="dxa"/>
            <w:gridSpan w:val="2"/>
            <w:tcBorders>
              <w:top w:val="nil"/>
              <w:left w:val="nil"/>
              <w:bottom w:val="nil"/>
              <w:right w:val="nil"/>
            </w:tcBorders>
            <w:shd w:val="clear" w:color="000000" w:fill="FFFFFF"/>
            <w:noWrap/>
            <w:vAlign w:val="bottom"/>
            <w:hideMark/>
          </w:tcPr>
          <w:p w14:paraId="6E01C729"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0.31</w:t>
            </w:r>
          </w:p>
        </w:tc>
        <w:tc>
          <w:tcPr>
            <w:tcW w:w="1226" w:type="dxa"/>
            <w:tcBorders>
              <w:top w:val="nil"/>
              <w:left w:val="nil"/>
              <w:bottom w:val="nil"/>
              <w:right w:val="nil"/>
            </w:tcBorders>
            <w:shd w:val="clear" w:color="000000" w:fill="FFFFFF"/>
            <w:noWrap/>
            <w:vAlign w:val="bottom"/>
            <w:hideMark/>
          </w:tcPr>
          <w:p w14:paraId="554257AB"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0.41</w:t>
            </w:r>
          </w:p>
        </w:tc>
        <w:tc>
          <w:tcPr>
            <w:tcW w:w="1226" w:type="dxa"/>
            <w:tcBorders>
              <w:top w:val="nil"/>
              <w:left w:val="nil"/>
              <w:bottom w:val="nil"/>
              <w:right w:val="nil"/>
            </w:tcBorders>
            <w:shd w:val="clear" w:color="000000" w:fill="FFFFFF"/>
            <w:noWrap/>
            <w:vAlign w:val="bottom"/>
            <w:hideMark/>
          </w:tcPr>
          <w:p w14:paraId="6D2A2AFD"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0.51</w:t>
            </w:r>
          </w:p>
        </w:tc>
        <w:tc>
          <w:tcPr>
            <w:tcW w:w="1226" w:type="dxa"/>
            <w:tcBorders>
              <w:top w:val="nil"/>
              <w:left w:val="nil"/>
              <w:bottom w:val="nil"/>
              <w:right w:val="nil"/>
            </w:tcBorders>
            <w:shd w:val="clear" w:color="000000" w:fill="FFFFFF"/>
            <w:noWrap/>
            <w:vAlign w:val="bottom"/>
            <w:hideMark/>
          </w:tcPr>
          <w:p w14:paraId="05C00D05"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0.43</w:t>
            </w:r>
          </w:p>
        </w:tc>
        <w:tc>
          <w:tcPr>
            <w:tcW w:w="1226" w:type="dxa"/>
            <w:tcBorders>
              <w:top w:val="nil"/>
              <w:left w:val="nil"/>
              <w:bottom w:val="nil"/>
              <w:right w:val="nil"/>
            </w:tcBorders>
            <w:shd w:val="clear" w:color="000000" w:fill="FFFFFF"/>
            <w:noWrap/>
            <w:vAlign w:val="bottom"/>
            <w:hideMark/>
          </w:tcPr>
          <w:p w14:paraId="33C03BE1"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0.38</w:t>
            </w:r>
          </w:p>
        </w:tc>
        <w:tc>
          <w:tcPr>
            <w:tcW w:w="1226" w:type="dxa"/>
            <w:tcBorders>
              <w:top w:val="nil"/>
              <w:left w:val="nil"/>
              <w:bottom w:val="nil"/>
              <w:right w:val="nil"/>
            </w:tcBorders>
            <w:shd w:val="clear" w:color="000000" w:fill="FFFFFF"/>
            <w:noWrap/>
            <w:vAlign w:val="bottom"/>
            <w:hideMark/>
          </w:tcPr>
          <w:p w14:paraId="70C5F004"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0.53</w:t>
            </w:r>
          </w:p>
        </w:tc>
      </w:tr>
      <w:tr w:rsidR="005C1F3E" w:rsidRPr="00F17DC1" w14:paraId="09E564F5" w14:textId="77777777" w:rsidTr="0079220F">
        <w:trPr>
          <w:trHeight w:val="290"/>
        </w:trPr>
        <w:tc>
          <w:tcPr>
            <w:tcW w:w="2925" w:type="dxa"/>
            <w:gridSpan w:val="2"/>
            <w:tcBorders>
              <w:top w:val="nil"/>
              <w:left w:val="nil"/>
              <w:bottom w:val="nil"/>
              <w:right w:val="nil"/>
            </w:tcBorders>
            <w:shd w:val="clear" w:color="000000" w:fill="FFFFFF"/>
            <w:noWrap/>
            <w:vAlign w:val="bottom"/>
            <w:hideMark/>
          </w:tcPr>
          <w:p w14:paraId="2F5ADB5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025" w:type="dxa"/>
            <w:tcBorders>
              <w:top w:val="nil"/>
              <w:left w:val="nil"/>
              <w:bottom w:val="nil"/>
              <w:right w:val="nil"/>
            </w:tcBorders>
            <w:shd w:val="clear" w:color="000000" w:fill="FFFFFF"/>
            <w:noWrap/>
            <w:vAlign w:val="bottom"/>
            <w:hideMark/>
          </w:tcPr>
          <w:p w14:paraId="4B9C81A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4E25B0B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6FA25C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15889C2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34DAB7D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26" w:type="dxa"/>
            <w:tcBorders>
              <w:top w:val="nil"/>
              <w:left w:val="nil"/>
              <w:bottom w:val="nil"/>
              <w:right w:val="nil"/>
            </w:tcBorders>
            <w:shd w:val="clear" w:color="000000" w:fill="FFFFFF"/>
            <w:noWrap/>
            <w:vAlign w:val="bottom"/>
            <w:hideMark/>
          </w:tcPr>
          <w:p w14:paraId="45CAA33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bl>
    <w:p w14:paraId="560416E0" w14:textId="670768F8" w:rsidR="00F17DC1" w:rsidRDefault="00F17DC1" w:rsidP="00F17DC1">
      <w:pPr>
        <w:jc w:val="center"/>
      </w:pPr>
    </w:p>
    <w:p w14:paraId="4629DD47" w14:textId="4F3A2576" w:rsidR="00425A21" w:rsidRPr="00425A21" w:rsidRDefault="00425A21" w:rsidP="00425A21">
      <w:pPr>
        <w:spacing w:after="0" w:line="240" w:lineRule="auto"/>
      </w:pPr>
      <w:r>
        <w:t xml:space="preserve">Note: dependent variable is the difference between the current account balance in 2020 and its 2015-19 average, both scaled by GDP.  </w:t>
      </w:r>
      <w:r w:rsidRPr="00F1696E">
        <w:rPr>
          <w:rFonts w:ascii="Calibri" w:eastAsia="Times New Roman" w:hAnsi="Calibri" w:cs="Times New Roman"/>
          <w:color w:val="000000"/>
        </w:rPr>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74F76956" w14:textId="77777777" w:rsidR="00B956B1" w:rsidRDefault="00574316" w:rsidP="00EA3FCF">
      <w:pPr>
        <w:jc w:val="center"/>
      </w:pPr>
      <w:r>
        <w:br w:type="page"/>
      </w:r>
      <w:r w:rsidR="004052DB">
        <w:lastRenderedPageBreak/>
        <w:t xml:space="preserve">Table 6. </w:t>
      </w:r>
    </w:p>
    <w:p w14:paraId="6071F69B" w14:textId="24520048" w:rsidR="004052DB" w:rsidRDefault="004052DB" w:rsidP="00B956B1">
      <w:pPr>
        <w:pStyle w:val="ListParagraph"/>
        <w:numPr>
          <w:ilvl w:val="0"/>
          <w:numId w:val="1"/>
        </w:numPr>
        <w:jc w:val="center"/>
      </w:pPr>
      <w:r>
        <w:t>Share of tourism in GDP: stylized facts</w:t>
      </w:r>
    </w:p>
    <w:tbl>
      <w:tblPr>
        <w:tblW w:w="9761" w:type="dxa"/>
        <w:tblLook w:val="04A0" w:firstRow="1" w:lastRow="0" w:firstColumn="1" w:lastColumn="0" w:noHBand="0" w:noVBand="1"/>
      </w:tblPr>
      <w:tblGrid>
        <w:gridCol w:w="1300"/>
        <w:gridCol w:w="1820"/>
        <w:gridCol w:w="660"/>
        <w:gridCol w:w="960"/>
        <w:gridCol w:w="840"/>
        <w:gridCol w:w="901"/>
        <w:gridCol w:w="920"/>
        <w:gridCol w:w="820"/>
        <w:gridCol w:w="780"/>
        <w:gridCol w:w="760"/>
      </w:tblGrid>
      <w:tr w:rsidR="00D06ED7" w:rsidRPr="00D06ED7" w14:paraId="290EF25C" w14:textId="77777777" w:rsidTr="004052DB">
        <w:trPr>
          <w:trHeight w:val="710"/>
        </w:trPr>
        <w:tc>
          <w:tcPr>
            <w:tcW w:w="1300" w:type="dxa"/>
            <w:tcBorders>
              <w:top w:val="nil"/>
              <w:left w:val="nil"/>
              <w:bottom w:val="nil"/>
              <w:right w:val="nil"/>
            </w:tcBorders>
            <w:shd w:val="clear" w:color="000000" w:fill="FFFFFF"/>
            <w:noWrap/>
            <w:vAlign w:val="bottom"/>
            <w:hideMark/>
          </w:tcPr>
          <w:p w14:paraId="01D9D1EA"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1C56B6B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vAlign w:val="bottom"/>
            <w:hideMark/>
          </w:tcPr>
          <w:p w14:paraId="45ACEAA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Obs.</w:t>
            </w:r>
          </w:p>
        </w:tc>
        <w:tc>
          <w:tcPr>
            <w:tcW w:w="960" w:type="dxa"/>
            <w:tcBorders>
              <w:top w:val="nil"/>
              <w:left w:val="nil"/>
              <w:bottom w:val="nil"/>
              <w:right w:val="nil"/>
            </w:tcBorders>
            <w:shd w:val="clear" w:color="000000" w:fill="FFFFFF"/>
            <w:vAlign w:val="bottom"/>
            <w:hideMark/>
          </w:tcPr>
          <w:p w14:paraId="15B37E9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Min</w:t>
            </w:r>
          </w:p>
        </w:tc>
        <w:tc>
          <w:tcPr>
            <w:tcW w:w="840" w:type="dxa"/>
            <w:tcBorders>
              <w:top w:val="nil"/>
              <w:left w:val="nil"/>
              <w:bottom w:val="nil"/>
              <w:right w:val="nil"/>
            </w:tcBorders>
            <w:shd w:val="clear" w:color="000000" w:fill="FFFFFF"/>
            <w:vAlign w:val="bottom"/>
            <w:hideMark/>
          </w:tcPr>
          <w:p w14:paraId="220BF98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25th perc.</w:t>
            </w:r>
          </w:p>
        </w:tc>
        <w:tc>
          <w:tcPr>
            <w:tcW w:w="901" w:type="dxa"/>
            <w:tcBorders>
              <w:top w:val="nil"/>
              <w:left w:val="nil"/>
              <w:bottom w:val="nil"/>
              <w:right w:val="nil"/>
            </w:tcBorders>
            <w:shd w:val="clear" w:color="000000" w:fill="FFFFFF"/>
            <w:vAlign w:val="bottom"/>
            <w:hideMark/>
          </w:tcPr>
          <w:p w14:paraId="406FF932"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Median</w:t>
            </w:r>
          </w:p>
        </w:tc>
        <w:tc>
          <w:tcPr>
            <w:tcW w:w="920" w:type="dxa"/>
            <w:tcBorders>
              <w:top w:val="nil"/>
              <w:left w:val="nil"/>
              <w:bottom w:val="nil"/>
              <w:right w:val="nil"/>
            </w:tcBorders>
            <w:shd w:val="clear" w:color="000000" w:fill="FFFFFF"/>
            <w:vAlign w:val="bottom"/>
            <w:hideMark/>
          </w:tcPr>
          <w:p w14:paraId="22B7CE8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75th perc.</w:t>
            </w:r>
          </w:p>
        </w:tc>
        <w:tc>
          <w:tcPr>
            <w:tcW w:w="820" w:type="dxa"/>
            <w:tcBorders>
              <w:top w:val="nil"/>
              <w:left w:val="nil"/>
              <w:bottom w:val="nil"/>
              <w:right w:val="nil"/>
            </w:tcBorders>
            <w:shd w:val="clear" w:color="000000" w:fill="FFFFFF"/>
            <w:vAlign w:val="bottom"/>
            <w:hideMark/>
          </w:tcPr>
          <w:p w14:paraId="0079EE7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Max</w:t>
            </w:r>
          </w:p>
        </w:tc>
        <w:tc>
          <w:tcPr>
            <w:tcW w:w="780" w:type="dxa"/>
            <w:tcBorders>
              <w:top w:val="nil"/>
              <w:left w:val="nil"/>
              <w:bottom w:val="nil"/>
              <w:right w:val="nil"/>
            </w:tcBorders>
            <w:shd w:val="clear" w:color="000000" w:fill="FFFFFF"/>
            <w:vAlign w:val="bottom"/>
            <w:hideMark/>
          </w:tcPr>
          <w:p w14:paraId="60BD8578"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Mean</w:t>
            </w:r>
          </w:p>
        </w:tc>
        <w:tc>
          <w:tcPr>
            <w:tcW w:w="760" w:type="dxa"/>
            <w:tcBorders>
              <w:top w:val="nil"/>
              <w:left w:val="nil"/>
              <w:bottom w:val="nil"/>
              <w:right w:val="nil"/>
            </w:tcBorders>
            <w:shd w:val="clear" w:color="000000" w:fill="FFFFFF"/>
            <w:vAlign w:val="bottom"/>
            <w:hideMark/>
          </w:tcPr>
          <w:p w14:paraId="61B648A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Std. dev.</w:t>
            </w:r>
          </w:p>
        </w:tc>
      </w:tr>
      <w:tr w:rsidR="00D06ED7" w:rsidRPr="00D06ED7" w14:paraId="78383355" w14:textId="77777777" w:rsidTr="004052DB">
        <w:trPr>
          <w:trHeight w:val="290"/>
        </w:trPr>
        <w:tc>
          <w:tcPr>
            <w:tcW w:w="1300" w:type="dxa"/>
            <w:tcBorders>
              <w:top w:val="nil"/>
              <w:left w:val="nil"/>
              <w:bottom w:val="nil"/>
              <w:right w:val="nil"/>
            </w:tcBorders>
            <w:shd w:val="clear" w:color="000000" w:fill="FFFFFF"/>
            <w:noWrap/>
            <w:vAlign w:val="bottom"/>
            <w:hideMark/>
          </w:tcPr>
          <w:p w14:paraId="3D748146"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399029B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6A9CBEF9"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1A57357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1EAAFC5C"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20A01F01"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39D22B1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4ECB5D3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6AC383E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69A84A5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r w:rsidR="00D06ED7" w:rsidRPr="00D06ED7" w14:paraId="5DEBDA96" w14:textId="77777777" w:rsidTr="004052DB">
        <w:trPr>
          <w:trHeight w:val="290"/>
        </w:trPr>
        <w:tc>
          <w:tcPr>
            <w:tcW w:w="1300" w:type="dxa"/>
            <w:tcBorders>
              <w:top w:val="nil"/>
              <w:left w:val="nil"/>
              <w:bottom w:val="nil"/>
              <w:right w:val="nil"/>
            </w:tcBorders>
            <w:shd w:val="clear" w:color="000000" w:fill="FFFFFF"/>
            <w:noWrap/>
            <w:vAlign w:val="bottom"/>
            <w:hideMark/>
          </w:tcPr>
          <w:p w14:paraId="1F163446"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31E02697"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hideMark/>
          </w:tcPr>
          <w:p w14:paraId="7F353B6E"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166</w:t>
            </w:r>
          </w:p>
        </w:tc>
        <w:tc>
          <w:tcPr>
            <w:tcW w:w="960" w:type="dxa"/>
            <w:tcBorders>
              <w:top w:val="nil"/>
              <w:left w:val="nil"/>
              <w:bottom w:val="nil"/>
              <w:right w:val="nil"/>
            </w:tcBorders>
            <w:shd w:val="clear" w:color="000000" w:fill="FFFFFF"/>
            <w:noWrap/>
            <w:vAlign w:val="bottom"/>
            <w:hideMark/>
          </w:tcPr>
          <w:p w14:paraId="3835DD3A"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0.6</w:t>
            </w:r>
          </w:p>
        </w:tc>
        <w:tc>
          <w:tcPr>
            <w:tcW w:w="840" w:type="dxa"/>
            <w:tcBorders>
              <w:top w:val="nil"/>
              <w:left w:val="nil"/>
              <w:bottom w:val="nil"/>
              <w:right w:val="nil"/>
            </w:tcBorders>
            <w:shd w:val="clear" w:color="000000" w:fill="FFFFFF"/>
            <w:noWrap/>
            <w:vAlign w:val="bottom"/>
            <w:hideMark/>
          </w:tcPr>
          <w:p w14:paraId="0574D41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2.4</w:t>
            </w:r>
          </w:p>
        </w:tc>
        <w:tc>
          <w:tcPr>
            <w:tcW w:w="901" w:type="dxa"/>
            <w:tcBorders>
              <w:top w:val="nil"/>
              <w:left w:val="nil"/>
              <w:bottom w:val="nil"/>
              <w:right w:val="nil"/>
            </w:tcBorders>
            <w:shd w:val="clear" w:color="000000" w:fill="FFFFFF"/>
            <w:noWrap/>
            <w:vAlign w:val="bottom"/>
            <w:hideMark/>
          </w:tcPr>
          <w:p w14:paraId="6DF8230E"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3.6</w:t>
            </w:r>
          </w:p>
        </w:tc>
        <w:tc>
          <w:tcPr>
            <w:tcW w:w="920" w:type="dxa"/>
            <w:tcBorders>
              <w:top w:val="nil"/>
              <w:left w:val="nil"/>
              <w:bottom w:val="nil"/>
              <w:right w:val="nil"/>
            </w:tcBorders>
            <w:shd w:val="clear" w:color="000000" w:fill="FFFFFF"/>
            <w:noWrap/>
            <w:vAlign w:val="bottom"/>
            <w:hideMark/>
          </w:tcPr>
          <w:p w14:paraId="6365C798"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5.8</w:t>
            </w:r>
          </w:p>
        </w:tc>
        <w:tc>
          <w:tcPr>
            <w:tcW w:w="820" w:type="dxa"/>
            <w:tcBorders>
              <w:top w:val="nil"/>
              <w:left w:val="nil"/>
              <w:bottom w:val="nil"/>
              <w:right w:val="nil"/>
            </w:tcBorders>
            <w:shd w:val="clear" w:color="000000" w:fill="FFFFFF"/>
            <w:noWrap/>
            <w:vAlign w:val="bottom"/>
            <w:hideMark/>
          </w:tcPr>
          <w:p w14:paraId="52A707A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38.8</w:t>
            </w:r>
          </w:p>
        </w:tc>
        <w:tc>
          <w:tcPr>
            <w:tcW w:w="780" w:type="dxa"/>
            <w:tcBorders>
              <w:top w:val="nil"/>
              <w:left w:val="nil"/>
              <w:bottom w:val="nil"/>
              <w:right w:val="nil"/>
            </w:tcBorders>
            <w:shd w:val="clear" w:color="000000" w:fill="FFFFFF"/>
            <w:noWrap/>
            <w:vAlign w:val="bottom"/>
            <w:hideMark/>
          </w:tcPr>
          <w:p w14:paraId="6CDC9D87"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5.2</w:t>
            </w:r>
          </w:p>
        </w:tc>
        <w:tc>
          <w:tcPr>
            <w:tcW w:w="760" w:type="dxa"/>
            <w:tcBorders>
              <w:top w:val="nil"/>
              <w:left w:val="nil"/>
              <w:bottom w:val="nil"/>
              <w:right w:val="nil"/>
            </w:tcBorders>
            <w:shd w:val="clear" w:color="000000" w:fill="FFFFFF"/>
            <w:noWrap/>
            <w:vAlign w:val="bottom"/>
            <w:hideMark/>
          </w:tcPr>
          <w:p w14:paraId="66942F6A"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5.3</w:t>
            </w:r>
          </w:p>
        </w:tc>
      </w:tr>
      <w:tr w:rsidR="00D06ED7" w:rsidRPr="00D06ED7" w14:paraId="60F55A05" w14:textId="77777777" w:rsidTr="004052DB">
        <w:trPr>
          <w:trHeight w:val="290"/>
        </w:trPr>
        <w:tc>
          <w:tcPr>
            <w:tcW w:w="1300" w:type="dxa"/>
            <w:tcBorders>
              <w:top w:val="nil"/>
              <w:left w:val="nil"/>
              <w:bottom w:val="nil"/>
              <w:right w:val="nil"/>
            </w:tcBorders>
            <w:shd w:val="clear" w:color="000000" w:fill="FFFFFF"/>
            <w:noWrap/>
            <w:vAlign w:val="bottom"/>
            <w:hideMark/>
          </w:tcPr>
          <w:p w14:paraId="3C2D879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39B81A5A"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bottom"/>
            <w:hideMark/>
          </w:tcPr>
          <w:p w14:paraId="66D7CEC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36</w:t>
            </w:r>
          </w:p>
        </w:tc>
        <w:tc>
          <w:tcPr>
            <w:tcW w:w="960" w:type="dxa"/>
            <w:tcBorders>
              <w:top w:val="nil"/>
              <w:left w:val="nil"/>
              <w:bottom w:val="nil"/>
              <w:right w:val="nil"/>
            </w:tcBorders>
            <w:shd w:val="clear" w:color="000000" w:fill="FFFFFF"/>
            <w:noWrap/>
            <w:vAlign w:val="bottom"/>
            <w:hideMark/>
          </w:tcPr>
          <w:p w14:paraId="002396B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w:t>
            </w:r>
          </w:p>
        </w:tc>
        <w:tc>
          <w:tcPr>
            <w:tcW w:w="840" w:type="dxa"/>
            <w:tcBorders>
              <w:top w:val="nil"/>
              <w:left w:val="nil"/>
              <w:bottom w:val="nil"/>
              <w:right w:val="nil"/>
            </w:tcBorders>
            <w:shd w:val="clear" w:color="000000" w:fill="FFFFFF"/>
            <w:noWrap/>
            <w:vAlign w:val="bottom"/>
            <w:hideMark/>
          </w:tcPr>
          <w:p w14:paraId="70597A5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2.2</w:t>
            </w:r>
          </w:p>
        </w:tc>
        <w:tc>
          <w:tcPr>
            <w:tcW w:w="901" w:type="dxa"/>
            <w:tcBorders>
              <w:top w:val="nil"/>
              <w:left w:val="nil"/>
              <w:bottom w:val="nil"/>
              <w:right w:val="nil"/>
            </w:tcBorders>
            <w:shd w:val="clear" w:color="000000" w:fill="FFFFFF"/>
            <w:noWrap/>
            <w:vAlign w:val="bottom"/>
            <w:hideMark/>
          </w:tcPr>
          <w:p w14:paraId="33B82F1C"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3.5</w:t>
            </w:r>
          </w:p>
        </w:tc>
        <w:tc>
          <w:tcPr>
            <w:tcW w:w="920" w:type="dxa"/>
            <w:tcBorders>
              <w:top w:val="nil"/>
              <w:left w:val="nil"/>
              <w:bottom w:val="nil"/>
              <w:right w:val="nil"/>
            </w:tcBorders>
            <w:shd w:val="clear" w:color="000000" w:fill="FFFFFF"/>
            <w:noWrap/>
            <w:vAlign w:val="bottom"/>
            <w:hideMark/>
          </w:tcPr>
          <w:p w14:paraId="3BF407A2"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5.4</w:t>
            </w:r>
          </w:p>
        </w:tc>
        <w:tc>
          <w:tcPr>
            <w:tcW w:w="820" w:type="dxa"/>
            <w:tcBorders>
              <w:top w:val="nil"/>
              <w:left w:val="nil"/>
              <w:bottom w:val="nil"/>
              <w:right w:val="nil"/>
            </w:tcBorders>
            <w:shd w:val="clear" w:color="000000" w:fill="FFFFFF"/>
            <w:noWrap/>
            <w:vAlign w:val="bottom"/>
            <w:hideMark/>
          </w:tcPr>
          <w:p w14:paraId="1BD5B01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28.1</w:t>
            </w:r>
          </w:p>
        </w:tc>
        <w:tc>
          <w:tcPr>
            <w:tcW w:w="780" w:type="dxa"/>
            <w:tcBorders>
              <w:top w:val="nil"/>
              <w:left w:val="nil"/>
              <w:bottom w:val="nil"/>
              <w:right w:val="nil"/>
            </w:tcBorders>
            <w:shd w:val="clear" w:color="000000" w:fill="FFFFFF"/>
            <w:noWrap/>
            <w:vAlign w:val="bottom"/>
            <w:hideMark/>
          </w:tcPr>
          <w:p w14:paraId="6FD20F57"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4.6</w:t>
            </w:r>
          </w:p>
        </w:tc>
        <w:tc>
          <w:tcPr>
            <w:tcW w:w="760" w:type="dxa"/>
            <w:tcBorders>
              <w:top w:val="nil"/>
              <w:left w:val="nil"/>
              <w:bottom w:val="nil"/>
              <w:right w:val="nil"/>
            </w:tcBorders>
            <w:shd w:val="clear" w:color="000000" w:fill="FFFFFF"/>
            <w:noWrap/>
            <w:vAlign w:val="bottom"/>
            <w:hideMark/>
          </w:tcPr>
          <w:p w14:paraId="68A36F65"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4.7</w:t>
            </w:r>
          </w:p>
        </w:tc>
      </w:tr>
      <w:tr w:rsidR="00D06ED7" w:rsidRPr="00D06ED7" w14:paraId="328689FF" w14:textId="77777777" w:rsidTr="004052DB">
        <w:trPr>
          <w:trHeight w:val="290"/>
        </w:trPr>
        <w:tc>
          <w:tcPr>
            <w:tcW w:w="1300" w:type="dxa"/>
            <w:tcBorders>
              <w:top w:val="nil"/>
              <w:left w:val="nil"/>
              <w:bottom w:val="nil"/>
              <w:right w:val="nil"/>
            </w:tcBorders>
            <w:shd w:val="clear" w:color="000000" w:fill="FFFFFF"/>
            <w:noWrap/>
            <w:vAlign w:val="bottom"/>
            <w:hideMark/>
          </w:tcPr>
          <w:p w14:paraId="3F8B53F9"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5F214F59"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bottom"/>
            <w:hideMark/>
          </w:tcPr>
          <w:p w14:paraId="1BEDE5A5"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130</w:t>
            </w:r>
          </w:p>
        </w:tc>
        <w:tc>
          <w:tcPr>
            <w:tcW w:w="960" w:type="dxa"/>
            <w:tcBorders>
              <w:top w:val="nil"/>
              <w:left w:val="nil"/>
              <w:bottom w:val="nil"/>
              <w:right w:val="nil"/>
            </w:tcBorders>
            <w:shd w:val="clear" w:color="000000" w:fill="FFFFFF"/>
            <w:noWrap/>
            <w:vAlign w:val="bottom"/>
            <w:hideMark/>
          </w:tcPr>
          <w:p w14:paraId="108FBC6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0.6</w:t>
            </w:r>
          </w:p>
        </w:tc>
        <w:tc>
          <w:tcPr>
            <w:tcW w:w="840" w:type="dxa"/>
            <w:tcBorders>
              <w:top w:val="nil"/>
              <w:left w:val="nil"/>
              <w:bottom w:val="nil"/>
              <w:right w:val="nil"/>
            </w:tcBorders>
            <w:shd w:val="clear" w:color="000000" w:fill="FFFFFF"/>
            <w:noWrap/>
            <w:vAlign w:val="bottom"/>
            <w:hideMark/>
          </w:tcPr>
          <w:p w14:paraId="753B0CCF"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2.6</w:t>
            </w:r>
          </w:p>
        </w:tc>
        <w:tc>
          <w:tcPr>
            <w:tcW w:w="901" w:type="dxa"/>
            <w:tcBorders>
              <w:top w:val="nil"/>
              <w:left w:val="nil"/>
              <w:bottom w:val="nil"/>
              <w:right w:val="nil"/>
            </w:tcBorders>
            <w:shd w:val="clear" w:color="000000" w:fill="FFFFFF"/>
            <w:noWrap/>
            <w:vAlign w:val="bottom"/>
            <w:hideMark/>
          </w:tcPr>
          <w:p w14:paraId="7567622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3.6</w:t>
            </w:r>
          </w:p>
        </w:tc>
        <w:tc>
          <w:tcPr>
            <w:tcW w:w="920" w:type="dxa"/>
            <w:tcBorders>
              <w:top w:val="nil"/>
              <w:left w:val="nil"/>
              <w:bottom w:val="nil"/>
              <w:right w:val="nil"/>
            </w:tcBorders>
            <w:shd w:val="clear" w:color="000000" w:fill="FFFFFF"/>
            <w:noWrap/>
            <w:vAlign w:val="bottom"/>
            <w:hideMark/>
          </w:tcPr>
          <w:p w14:paraId="1A2D3CE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6.1</w:t>
            </w:r>
          </w:p>
        </w:tc>
        <w:tc>
          <w:tcPr>
            <w:tcW w:w="820" w:type="dxa"/>
            <w:tcBorders>
              <w:top w:val="nil"/>
              <w:left w:val="nil"/>
              <w:bottom w:val="nil"/>
              <w:right w:val="nil"/>
            </w:tcBorders>
            <w:shd w:val="clear" w:color="000000" w:fill="FFFFFF"/>
            <w:noWrap/>
            <w:vAlign w:val="bottom"/>
            <w:hideMark/>
          </w:tcPr>
          <w:p w14:paraId="54851499"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38.8</w:t>
            </w:r>
          </w:p>
        </w:tc>
        <w:tc>
          <w:tcPr>
            <w:tcW w:w="780" w:type="dxa"/>
            <w:tcBorders>
              <w:top w:val="nil"/>
              <w:left w:val="nil"/>
              <w:bottom w:val="nil"/>
              <w:right w:val="nil"/>
            </w:tcBorders>
            <w:shd w:val="clear" w:color="000000" w:fill="FFFFFF"/>
            <w:noWrap/>
            <w:vAlign w:val="bottom"/>
            <w:hideMark/>
          </w:tcPr>
          <w:p w14:paraId="10740667"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5.4</w:t>
            </w:r>
          </w:p>
        </w:tc>
        <w:tc>
          <w:tcPr>
            <w:tcW w:w="760" w:type="dxa"/>
            <w:tcBorders>
              <w:top w:val="nil"/>
              <w:left w:val="nil"/>
              <w:bottom w:val="nil"/>
              <w:right w:val="nil"/>
            </w:tcBorders>
            <w:shd w:val="clear" w:color="000000" w:fill="FFFFFF"/>
            <w:noWrap/>
            <w:vAlign w:val="bottom"/>
            <w:hideMark/>
          </w:tcPr>
          <w:p w14:paraId="4E266892"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5.5</w:t>
            </w:r>
          </w:p>
        </w:tc>
      </w:tr>
      <w:tr w:rsidR="00D06ED7" w:rsidRPr="00D06ED7" w14:paraId="7D222DE1" w14:textId="77777777" w:rsidTr="004052DB">
        <w:trPr>
          <w:trHeight w:val="290"/>
        </w:trPr>
        <w:tc>
          <w:tcPr>
            <w:tcW w:w="1300" w:type="dxa"/>
            <w:tcBorders>
              <w:top w:val="nil"/>
              <w:left w:val="nil"/>
              <w:bottom w:val="nil"/>
              <w:right w:val="nil"/>
            </w:tcBorders>
            <w:shd w:val="clear" w:color="000000" w:fill="FFFFFF"/>
            <w:noWrap/>
            <w:vAlign w:val="bottom"/>
            <w:hideMark/>
          </w:tcPr>
          <w:p w14:paraId="6E68D71F"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4711B826"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0DD2554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91D9B71"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5FE12F6A"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5CE4EEE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55AD848F"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7CC332B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677DB5B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5CB093C7"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r w:rsidR="00D06ED7" w:rsidRPr="00D06ED7" w14:paraId="103BC9DB" w14:textId="77777777" w:rsidTr="004052DB">
        <w:trPr>
          <w:trHeight w:val="290"/>
        </w:trPr>
        <w:tc>
          <w:tcPr>
            <w:tcW w:w="1300" w:type="dxa"/>
            <w:tcBorders>
              <w:top w:val="nil"/>
              <w:left w:val="nil"/>
              <w:bottom w:val="nil"/>
              <w:right w:val="nil"/>
            </w:tcBorders>
            <w:shd w:val="clear" w:color="000000" w:fill="FFFFFF"/>
            <w:noWrap/>
            <w:vAlign w:val="bottom"/>
            <w:hideMark/>
          </w:tcPr>
          <w:p w14:paraId="234702D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7645579C"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hideMark/>
          </w:tcPr>
          <w:p w14:paraId="5D3EE385"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166</w:t>
            </w:r>
          </w:p>
        </w:tc>
        <w:tc>
          <w:tcPr>
            <w:tcW w:w="960" w:type="dxa"/>
            <w:tcBorders>
              <w:top w:val="nil"/>
              <w:left w:val="nil"/>
              <w:bottom w:val="nil"/>
              <w:right w:val="nil"/>
            </w:tcBorders>
            <w:shd w:val="clear" w:color="000000" w:fill="FFFFFF"/>
            <w:noWrap/>
            <w:vAlign w:val="bottom"/>
            <w:hideMark/>
          </w:tcPr>
          <w:p w14:paraId="50AB5C3A"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1.8</w:t>
            </w:r>
          </w:p>
        </w:tc>
        <w:tc>
          <w:tcPr>
            <w:tcW w:w="840" w:type="dxa"/>
            <w:tcBorders>
              <w:top w:val="nil"/>
              <w:left w:val="nil"/>
              <w:bottom w:val="nil"/>
              <w:right w:val="nil"/>
            </w:tcBorders>
            <w:shd w:val="clear" w:color="000000" w:fill="FFFFFF"/>
            <w:noWrap/>
            <w:vAlign w:val="bottom"/>
            <w:hideMark/>
          </w:tcPr>
          <w:p w14:paraId="58FE010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2.9</w:t>
            </w:r>
          </w:p>
        </w:tc>
        <w:tc>
          <w:tcPr>
            <w:tcW w:w="901" w:type="dxa"/>
            <w:tcBorders>
              <w:top w:val="nil"/>
              <w:left w:val="nil"/>
              <w:bottom w:val="nil"/>
              <w:right w:val="nil"/>
            </w:tcBorders>
            <w:shd w:val="clear" w:color="000000" w:fill="FFFFFF"/>
            <w:noWrap/>
            <w:vAlign w:val="bottom"/>
            <w:hideMark/>
          </w:tcPr>
          <w:p w14:paraId="237A28DC"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9.6</w:t>
            </w:r>
          </w:p>
        </w:tc>
        <w:tc>
          <w:tcPr>
            <w:tcW w:w="920" w:type="dxa"/>
            <w:tcBorders>
              <w:top w:val="nil"/>
              <w:left w:val="nil"/>
              <w:bottom w:val="nil"/>
              <w:right w:val="nil"/>
            </w:tcBorders>
            <w:shd w:val="clear" w:color="000000" w:fill="FFFFFF"/>
            <w:noWrap/>
            <w:vAlign w:val="bottom"/>
            <w:hideMark/>
          </w:tcPr>
          <w:p w14:paraId="207E460F"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16.0</w:t>
            </w:r>
          </w:p>
        </w:tc>
        <w:tc>
          <w:tcPr>
            <w:tcW w:w="820" w:type="dxa"/>
            <w:tcBorders>
              <w:top w:val="nil"/>
              <w:left w:val="nil"/>
              <w:bottom w:val="nil"/>
              <w:right w:val="nil"/>
            </w:tcBorders>
            <w:shd w:val="clear" w:color="000000" w:fill="FFFFFF"/>
            <w:noWrap/>
            <w:vAlign w:val="bottom"/>
            <w:hideMark/>
          </w:tcPr>
          <w:p w14:paraId="27526187"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87.5</w:t>
            </w:r>
          </w:p>
        </w:tc>
        <w:tc>
          <w:tcPr>
            <w:tcW w:w="780" w:type="dxa"/>
            <w:tcBorders>
              <w:top w:val="nil"/>
              <w:left w:val="nil"/>
              <w:bottom w:val="nil"/>
              <w:right w:val="nil"/>
            </w:tcBorders>
            <w:shd w:val="clear" w:color="000000" w:fill="FFFFFF"/>
            <w:noWrap/>
            <w:vAlign w:val="bottom"/>
            <w:hideMark/>
          </w:tcPr>
          <w:p w14:paraId="1E7434B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14.1</w:t>
            </w:r>
          </w:p>
        </w:tc>
        <w:tc>
          <w:tcPr>
            <w:tcW w:w="760" w:type="dxa"/>
            <w:tcBorders>
              <w:top w:val="nil"/>
              <w:left w:val="nil"/>
              <w:bottom w:val="nil"/>
              <w:right w:val="nil"/>
            </w:tcBorders>
            <w:shd w:val="clear" w:color="000000" w:fill="FFFFFF"/>
            <w:noWrap/>
            <w:vAlign w:val="bottom"/>
            <w:hideMark/>
          </w:tcPr>
          <w:p w14:paraId="6B17EF1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13.4</w:t>
            </w:r>
          </w:p>
        </w:tc>
      </w:tr>
      <w:tr w:rsidR="00D06ED7" w:rsidRPr="00D06ED7" w14:paraId="409D5BE5" w14:textId="77777777" w:rsidTr="004052DB">
        <w:trPr>
          <w:trHeight w:val="290"/>
        </w:trPr>
        <w:tc>
          <w:tcPr>
            <w:tcW w:w="1300" w:type="dxa"/>
            <w:tcBorders>
              <w:top w:val="nil"/>
              <w:left w:val="nil"/>
              <w:bottom w:val="nil"/>
              <w:right w:val="nil"/>
            </w:tcBorders>
            <w:shd w:val="clear" w:color="000000" w:fill="FFFFFF"/>
            <w:noWrap/>
            <w:vAlign w:val="bottom"/>
            <w:hideMark/>
          </w:tcPr>
          <w:p w14:paraId="60BB862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1515D3A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bottom"/>
            <w:hideMark/>
          </w:tcPr>
          <w:p w14:paraId="016610A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36</w:t>
            </w:r>
          </w:p>
        </w:tc>
        <w:tc>
          <w:tcPr>
            <w:tcW w:w="960" w:type="dxa"/>
            <w:tcBorders>
              <w:top w:val="nil"/>
              <w:left w:val="nil"/>
              <w:bottom w:val="nil"/>
              <w:right w:val="nil"/>
            </w:tcBorders>
            <w:shd w:val="clear" w:color="000000" w:fill="FFFFFF"/>
            <w:noWrap/>
            <w:vAlign w:val="bottom"/>
            <w:hideMark/>
          </w:tcPr>
          <w:p w14:paraId="4398AB3B"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4.4</w:t>
            </w:r>
          </w:p>
        </w:tc>
        <w:tc>
          <w:tcPr>
            <w:tcW w:w="840" w:type="dxa"/>
            <w:tcBorders>
              <w:top w:val="nil"/>
              <w:left w:val="nil"/>
              <w:bottom w:val="nil"/>
              <w:right w:val="nil"/>
            </w:tcBorders>
            <w:shd w:val="clear" w:color="000000" w:fill="FFFFFF"/>
            <w:noWrap/>
            <w:vAlign w:val="bottom"/>
            <w:hideMark/>
          </w:tcPr>
          <w:p w14:paraId="52EDDFDC"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6.7</w:t>
            </w:r>
          </w:p>
        </w:tc>
        <w:tc>
          <w:tcPr>
            <w:tcW w:w="901" w:type="dxa"/>
            <w:tcBorders>
              <w:top w:val="nil"/>
              <w:left w:val="nil"/>
              <w:bottom w:val="nil"/>
              <w:right w:val="nil"/>
            </w:tcBorders>
            <w:shd w:val="clear" w:color="000000" w:fill="FFFFFF"/>
            <w:noWrap/>
            <w:vAlign w:val="bottom"/>
            <w:hideMark/>
          </w:tcPr>
          <w:p w14:paraId="0AB1CFAB"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9.4</w:t>
            </w:r>
          </w:p>
        </w:tc>
        <w:tc>
          <w:tcPr>
            <w:tcW w:w="920" w:type="dxa"/>
            <w:tcBorders>
              <w:top w:val="nil"/>
              <w:left w:val="nil"/>
              <w:bottom w:val="nil"/>
              <w:right w:val="nil"/>
            </w:tcBorders>
            <w:shd w:val="clear" w:color="000000" w:fill="FFFFFF"/>
            <w:noWrap/>
            <w:vAlign w:val="bottom"/>
            <w:hideMark/>
          </w:tcPr>
          <w:p w14:paraId="6278974E"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15.1</w:t>
            </w:r>
          </w:p>
        </w:tc>
        <w:tc>
          <w:tcPr>
            <w:tcW w:w="820" w:type="dxa"/>
            <w:tcBorders>
              <w:top w:val="nil"/>
              <w:left w:val="nil"/>
              <w:bottom w:val="nil"/>
              <w:right w:val="nil"/>
            </w:tcBorders>
            <w:shd w:val="clear" w:color="000000" w:fill="FFFFFF"/>
            <w:noWrap/>
            <w:vAlign w:val="bottom"/>
            <w:hideMark/>
          </w:tcPr>
          <w:p w14:paraId="4751706A"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59.0</w:t>
            </w:r>
          </w:p>
        </w:tc>
        <w:tc>
          <w:tcPr>
            <w:tcW w:w="780" w:type="dxa"/>
            <w:tcBorders>
              <w:top w:val="nil"/>
              <w:left w:val="nil"/>
              <w:bottom w:val="nil"/>
              <w:right w:val="nil"/>
            </w:tcBorders>
            <w:shd w:val="clear" w:color="000000" w:fill="FFFFFF"/>
            <w:noWrap/>
            <w:vAlign w:val="bottom"/>
            <w:hideMark/>
          </w:tcPr>
          <w:p w14:paraId="1A526DA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12.8</w:t>
            </w:r>
          </w:p>
        </w:tc>
        <w:tc>
          <w:tcPr>
            <w:tcW w:w="760" w:type="dxa"/>
            <w:tcBorders>
              <w:top w:val="nil"/>
              <w:left w:val="nil"/>
              <w:bottom w:val="nil"/>
              <w:right w:val="nil"/>
            </w:tcBorders>
            <w:shd w:val="clear" w:color="000000" w:fill="FFFFFF"/>
            <w:noWrap/>
            <w:vAlign w:val="bottom"/>
            <w:hideMark/>
          </w:tcPr>
          <w:p w14:paraId="674441CE"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10.2</w:t>
            </w:r>
          </w:p>
        </w:tc>
      </w:tr>
      <w:tr w:rsidR="00D06ED7" w:rsidRPr="00D06ED7" w14:paraId="4A5C398F" w14:textId="77777777" w:rsidTr="004052DB">
        <w:trPr>
          <w:trHeight w:val="290"/>
        </w:trPr>
        <w:tc>
          <w:tcPr>
            <w:tcW w:w="1300" w:type="dxa"/>
            <w:tcBorders>
              <w:top w:val="nil"/>
              <w:left w:val="nil"/>
              <w:bottom w:val="nil"/>
              <w:right w:val="nil"/>
            </w:tcBorders>
            <w:shd w:val="clear" w:color="000000" w:fill="FFFFFF"/>
            <w:noWrap/>
            <w:vAlign w:val="bottom"/>
            <w:hideMark/>
          </w:tcPr>
          <w:p w14:paraId="6FDB34C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4784DFA1"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bottom"/>
            <w:hideMark/>
          </w:tcPr>
          <w:p w14:paraId="4F8410CF"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130</w:t>
            </w:r>
          </w:p>
        </w:tc>
        <w:tc>
          <w:tcPr>
            <w:tcW w:w="960" w:type="dxa"/>
            <w:tcBorders>
              <w:top w:val="nil"/>
              <w:left w:val="nil"/>
              <w:bottom w:val="nil"/>
              <w:right w:val="nil"/>
            </w:tcBorders>
            <w:shd w:val="clear" w:color="000000" w:fill="FFFFFF"/>
            <w:noWrap/>
            <w:vAlign w:val="bottom"/>
            <w:hideMark/>
          </w:tcPr>
          <w:p w14:paraId="1885AF9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1.8</w:t>
            </w:r>
          </w:p>
        </w:tc>
        <w:tc>
          <w:tcPr>
            <w:tcW w:w="840" w:type="dxa"/>
            <w:tcBorders>
              <w:top w:val="nil"/>
              <w:left w:val="nil"/>
              <w:bottom w:val="nil"/>
              <w:right w:val="nil"/>
            </w:tcBorders>
            <w:shd w:val="clear" w:color="000000" w:fill="FFFFFF"/>
            <w:noWrap/>
            <w:vAlign w:val="bottom"/>
            <w:hideMark/>
          </w:tcPr>
          <w:p w14:paraId="5BAD036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6.6</w:t>
            </w:r>
          </w:p>
        </w:tc>
        <w:tc>
          <w:tcPr>
            <w:tcW w:w="901" w:type="dxa"/>
            <w:tcBorders>
              <w:top w:val="nil"/>
              <w:left w:val="nil"/>
              <w:bottom w:val="nil"/>
              <w:right w:val="nil"/>
            </w:tcBorders>
            <w:shd w:val="clear" w:color="000000" w:fill="FFFFFF"/>
            <w:noWrap/>
            <w:vAlign w:val="bottom"/>
            <w:hideMark/>
          </w:tcPr>
          <w:p w14:paraId="176842F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9.7</w:t>
            </w:r>
          </w:p>
        </w:tc>
        <w:tc>
          <w:tcPr>
            <w:tcW w:w="920" w:type="dxa"/>
            <w:tcBorders>
              <w:top w:val="nil"/>
              <w:left w:val="nil"/>
              <w:bottom w:val="nil"/>
              <w:right w:val="nil"/>
            </w:tcBorders>
            <w:shd w:val="clear" w:color="000000" w:fill="FFFFFF"/>
            <w:noWrap/>
            <w:vAlign w:val="bottom"/>
            <w:hideMark/>
          </w:tcPr>
          <w:p w14:paraId="15DDA838"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16.1</w:t>
            </w:r>
          </w:p>
        </w:tc>
        <w:tc>
          <w:tcPr>
            <w:tcW w:w="820" w:type="dxa"/>
            <w:tcBorders>
              <w:top w:val="nil"/>
              <w:left w:val="nil"/>
              <w:bottom w:val="nil"/>
              <w:right w:val="nil"/>
            </w:tcBorders>
            <w:shd w:val="clear" w:color="000000" w:fill="FFFFFF"/>
            <w:noWrap/>
            <w:vAlign w:val="bottom"/>
            <w:hideMark/>
          </w:tcPr>
          <w:p w14:paraId="738B1F7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87.5</w:t>
            </w:r>
          </w:p>
        </w:tc>
        <w:tc>
          <w:tcPr>
            <w:tcW w:w="780" w:type="dxa"/>
            <w:tcBorders>
              <w:top w:val="nil"/>
              <w:left w:val="nil"/>
              <w:bottom w:val="nil"/>
              <w:right w:val="nil"/>
            </w:tcBorders>
            <w:shd w:val="clear" w:color="000000" w:fill="FFFFFF"/>
            <w:noWrap/>
            <w:vAlign w:val="bottom"/>
            <w:hideMark/>
          </w:tcPr>
          <w:p w14:paraId="3B422D9C"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14.5</w:t>
            </w:r>
          </w:p>
        </w:tc>
        <w:tc>
          <w:tcPr>
            <w:tcW w:w="760" w:type="dxa"/>
            <w:tcBorders>
              <w:top w:val="nil"/>
              <w:left w:val="nil"/>
              <w:bottom w:val="nil"/>
              <w:right w:val="nil"/>
            </w:tcBorders>
            <w:shd w:val="clear" w:color="000000" w:fill="FFFFFF"/>
            <w:noWrap/>
            <w:vAlign w:val="bottom"/>
            <w:hideMark/>
          </w:tcPr>
          <w:p w14:paraId="74DC816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14.2</w:t>
            </w:r>
          </w:p>
        </w:tc>
      </w:tr>
    </w:tbl>
    <w:p w14:paraId="662486A9" w14:textId="71EFC352" w:rsidR="004052DB" w:rsidRDefault="004052DB" w:rsidP="00532F06"/>
    <w:p w14:paraId="1625026C" w14:textId="7390F134" w:rsidR="00532F06" w:rsidRDefault="00532F06" w:rsidP="00532F06">
      <w:r>
        <w:t>Source: WTTC</w:t>
      </w:r>
      <w:r w:rsidR="00BA58FC">
        <w:t>.</w:t>
      </w:r>
    </w:p>
    <w:p w14:paraId="2CF42011" w14:textId="2C7EE75F" w:rsidR="00807988" w:rsidRDefault="00807988" w:rsidP="00D06ED7">
      <w:pPr>
        <w:jc w:val="center"/>
      </w:pPr>
    </w:p>
    <w:p w14:paraId="1B7EEE06" w14:textId="531CC325" w:rsidR="00807988" w:rsidRDefault="00807988" w:rsidP="00807988">
      <w:pPr>
        <w:pStyle w:val="ListParagraph"/>
        <w:numPr>
          <w:ilvl w:val="0"/>
          <w:numId w:val="1"/>
        </w:numPr>
        <w:jc w:val="center"/>
      </w:pPr>
      <w:r>
        <w:t>Growth Surprise in 2020</w:t>
      </w:r>
    </w:p>
    <w:tbl>
      <w:tblPr>
        <w:tblW w:w="8461" w:type="dxa"/>
        <w:jc w:val="center"/>
        <w:tblLook w:val="04A0" w:firstRow="1" w:lastRow="0" w:firstColumn="1" w:lastColumn="0" w:noHBand="0" w:noVBand="1"/>
      </w:tblPr>
      <w:tblGrid>
        <w:gridCol w:w="1820"/>
        <w:gridCol w:w="660"/>
        <w:gridCol w:w="960"/>
        <w:gridCol w:w="840"/>
        <w:gridCol w:w="901"/>
        <w:gridCol w:w="920"/>
        <w:gridCol w:w="820"/>
        <w:gridCol w:w="780"/>
        <w:gridCol w:w="760"/>
      </w:tblGrid>
      <w:tr w:rsidR="00152E7F" w:rsidRPr="00D06ED7" w14:paraId="09502A5D" w14:textId="77777777" w:rsidTr="00152E7F">
        <w:trPr>
          <w:trHeight w:val="710"/>
          <w:jc w:val="center"/>
        </w:trPr>
        <w:tc>
          <w:tcPr>
            <w:tcW w:w="1820" w:type="dxa"/>
            <w:tcBorders>
              <w:top w:val="nil"/>
              <w:left w:val="nil"/>
              <w:bottom w:val="nil"/>
              <w:right w:val="nil"/>
            </w:tcBorders>
            <w:shd w:val="clear" w:color="000000" w:fill="FFFFFF"/>
            <w:noWrap/>
            <w:vAlign w:val="bottom"/>
            <w:hideMark/>
          </w:tcPr>
          <w:p w14:paraId="2939BE76"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vAlign w:val="bottom"/>
            <w:hideMark/>
          </w:tcPr>
          <w:p w14:paraId="274C900F"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Obs.</w:t>
            </w:r>
          </w:p>
        </w:tc>
        <w:tc>
          <w:tcPr>
            <w:tcW w:w="960" w:type="dxa"/>
            <w:tcBorders>
              <w:top w:val="nil"/>
              <w:left w:val="nil"/>
              <w:bottom w:val="nil"/>
              <w:right w:val="nil"/>
            </w:tcBorders>
            <w:shd w:val="clear" w:color="000000" w:fill="FFFFFF"/>
            <w:vAlign w:val="bottom"/>
            <w:hideMark/>
          </w:tcPr>
          <w:p w14:paraId="3F3F4519"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Min</w:t>
            </w:r>
          </w:p>
        </w:tc>
        <w:tc>
          <w:tcPr>
            <w:tcW w:w="840" w:type="dxa"/>
            <w:tcBorders>
              <w:top w:val="nil"/>
              <w:left w:val="nil"/>
              <w:bottom w:val="nil"/>
              <w:right w:val="nil"/>
            </w:tcBorders>
            <w:shd w:val="clear" w:color="000000" w:fill="FFFFFF"/>
            <w:vAlign w:val="bottom"/>
            <w:hideMark/>
          </w:tcPr>
          <w:p w14:paraId="794AAC04"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25th perc.</w:t>
            </w:r>
          </w:p>
        </w:tc>
        <w:tc>
          <w:tcPr>
            <w:tcW w:w="901" w:type="dxa"/>
            <w:tcBorders>
              <w:top w:val="nil"/>
              <w:left w:val="nil"/>
              <w:bottom w:val="nil"/>
              <w:right w:val="nil"/>
            </w:tcBorders>
            <w:shd w:val="clear" w:color="000000" w:fill="FFFFFF"/>
            <w:vAlign w:val="bottom"/>
            <w:hideMark/>
          </w:tcPr>
          <w:p w14:paraId="40B610C9"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Median</w:t>
            </w:r>
          </w:p>
        </w:tc>
        <w:tc>
          <w:tcPr>
            <w:tcW w:w="920" w:type="dxa"/>
            <w:tcBorders>
              <w:top w:val="nil"/>
              <w:left w:val="nil"/>
              <w:bottom w:val="nil"/>
              <w:right w:val="nil"/>
            </w:tcBorders>
            <w:shd w:val="clear" w:color="000000" w:fill="FFFFFF"/>
            <w:vAlign w:val="bottom"/>
            <w:hideMark/>
          </w:tcPr>
          <w:p w14:paraId="23AEC843"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75th perc.</w:t>
            </w:r>
          </w:p>
        </w:tc>
        <w:tc>
          <w:tcPr>
            <w:tcW w:w="820" w:type="dxa"/>
            <w:tcBorders>
              <w:top w:val="nil"/>
              <w:left w:val="nil"/>
              <w:bottom w:val="nil"/>
              <w:right w:val="nil"/>
            </w:tcBorders>
            <w:shd w:val="clear" w:color="000000" w:fill="FFFFFF"/>
            <w:vAlign w:val="bottom"/>
            <w:hideMark/>
          </w:tcPr>
          <w:p w14:paraId="034572A2"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Max</w:t>
            </w:r>
          </w:p>
        </w:tc>
        <w:tc>
          <w:tcPr>
            <w:tcW w:w="780" w:type="dxa"/>
            <w:tcBorders>
              <w:top w:val="nil"/>
              <w:left w:val="nil"/>
              <w:bottom w:val="nil"/>
              <w:right w:val="nil"/>
            </w:tcBorders>
            <w:shd w:val="clear" w:color="000000" w:fill="FFFFFF"/>
            <w:vAlign w:val="bottom"/>
            <w:hideMark/>
          </w:tcPr>
          <w:p w14:paraId="1A4B5E7C"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Mean</w:t>
            </w:r>
          </w:p>
        </w:tc>
        <w:tc>
          <w:tcPr>
            <w:tcW w:w="760" w:type="dxa"/>
            <w:tcBorders>
              <w:top w:val="nil"/>
              <w:left w:val="nil"/>
              <w:bottom w:val="nil"/>
              <w:right w:val="nil"/>
            </w:tcBorders>
            <w:shd w:val="clear" w:color="000000" w:fill="FFFFFF"/>
            <w:vAlign w:val="bottom"/>
            <w:hideMark/>
          </w:tcPr>
          <w:p w14:paraId="58748647" w14:textId="77777777" w:rsidR="00152E7F" w:rsidRPr="00D06ED7" w:rsidRDefault="00152E7F" w:rsidP="005011E9">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Std. dev.</w:t>
            </w:r>
          </w:p>
        </w:tc>
      </w:tr>
      <w:tr w:rsidR="00152E7F" w:rsidRPr="00D06ED7" w14:paraId="5B120307" w14:textId="77777777" w:rsidTr="00152E7F">
        <w:trPr>
          <w:trHeight w:val="290"/>
          <w:jc w:val="center"/>
        </w:trPr>
        <w:tc>
          <w:tcPr>
            <w:tcW w:w="1820" w:type="dxa"/>
            <w:tcBorders>
              <w:top w:val="nil"/>
              <w:left w:val="nil"/>
              <w:bottom w:val="nil"/>
              <w:right w:val="nil"/>
            </w:tcBorders>
            <w:shd w:val="clear" w:color="000000" w:fill="FFFFFF"/>
            <w:noWrap/>
            <w:vAlign w:val="bottom"/>
            <w:hideMark/>
          </w:tcPr>
          <w:p w14:paraId="3B2E60EE"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7D495250"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00E7CEB0"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57F0E0B8"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4EE9E82F"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7E7D233E"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21BE0F5D"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136036C8"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6D2261E2"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r w:rsidR="000A12D0" w:rsidRPr="00D06ED7" w14:paraId="0E6E1DD7" w14:textId="77777777" w:rsidTr="00921D22">
        <w:trPr>
          <w:trHeight w:val="290"/>
          <w:jc w:val="center"/>
        </w:trPr>
        <w:tc>
          <w:tcPr>
            <w:tcW w:w="1820" w:type="dxa"/>
            <w:tcBorders>
              <w:top w:val="nil"/>
              <w:left w:val="nil"/>
              <w:bottom w:val="nil"/>
              <w:right w:val="nil"/>
            </w:tcBorders>
            <w:shd w:val="clear" w:color="000000" w:fill="FFFFFF"/>
            <w:noWrap/>
            <w:vAlign w:val="bottom"/>
            <w:hideMark/>
          </w:tcPr>
          <w:p w14:paraId="094B6E6A" w14:textId="77777777" w:rsidR="000A12D0" w:rsidRPr="00D06ED7" w:rsidRDefault="000A12D0" w:rsidP="000A12D0">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hideMark/>
          </w:tcPr>
          <w:p w14:paraId="2DD79C52" w14:textId="2D45AC4A"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186</w:t>
            </w:r>
          </w:p>
        </w:tc>
        <w:tc>
          <w:tcPr>
            <w:tcW w:w="960" w:type="dxa"/>
            <w:tcBorders>
              <w:top w:val="nil"/>
              <w:left w:val="nil"/>
              <w:bottom w:val="nil"/>
              <w:right w:val="nil"/>
            </w:tcBorders>
            <w:shd w:val="clear" w:color="000000" w:fill="FFFFFF"/>
            <w:noWrap/>
            <w:vAlign w:val="center"/>
            <w:hideMark/>
          </w:tcPr>
          <w:p w14:paraId="4394B807" w14:textId="504D4554"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-55.2</w:t>
            </w:r>
          </w:p>
        </w:tc>
        <w:tc>
          <w:tcPr>
            <w:tcW w:w="840" w:type="dxa"/>
            <w:tcBorders>
              <w:top w:val="nil"/>
              <w:left w:val="nil"/>
              <w:bottom w:val="nil"/>
              <w:right w:val="nil"/>
            </w:tcBorders>
            <w:shd w:val="clear" w:color="000000" w:fill="FFFFFF"/>
            <w:noWrap/>
            <w:vAlign w:val="bottom"/>
            <w:hideMark/>
          </w:tcPr>
          <w:p w14:paraId="3B64ADE6" w14:textId="4BD9A5A5"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-10.3</w:t>
            </w:r>
          </w:p>
        </w:tc>
        <w:tc>
          <w:tcPr>
            <w:tcW w:w="901" w:type="dxa"/>
            <w:tcBorders>
              <w:top w:val="nil"/>
              <w:left w:val="nil"/>
              <w:bottom w:val="nil"/>
              <w:right w:val="nil"/>
            </w:tcBorders>
            <w:shd w:val="clear" w:color="000000" w:fill="FFFFFF"/>
            <w:noWrap/>
            <w:vAlign w:val="bottom"/>
            <w:hideMark/>
          </w:tcPr>
          <w:p w14:paraId="207023BA" w14:textId="66649B26"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-7.0</w:t>
            </w:r>
          </w:p>
        </w:tc>
        <w:tc>
          <w:tcPr>
            <w:tcW w:w="920" w:type="dxa"/>
            <w:tcBorders>
              <w:top w:val="nil"/>
              <w:left w:val="nil"/>
              <w:bottom w:val="nil"/>
              <w:right w:val="nil"/>
            </w:tcBorders>
            <w:shd w:val="clear" w:color="000000" w:fill="FFFFFF"/>
            <w:noWrap/>
            <w:vAlign w:val="bottom"/>
            <w:hideMark/>
          </w:tcPr>
          <w:p w14:paraId="091761E0" w14:textId="06630A67"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-4.7</w:t>
            </w:r>
          </w:p>
        </w:tc>
        <w:tc>
          <w:tcPr>
            <w:tcW w:w="820" w:type="dxa"/>
            <w:tcBorders>
              <w:top w:val="nil"/>
              <w:left w:val="nil"/>
              <w:bottom w:val="nil"/>
              <w:right w:val="nil"/>
            </w:tcBorders>
            <w:shd w:val="clear" w:color="000000" w:fill="FFFFFF"/>
            <w:noWrap/>
            <w:vAlign w:val="bottom"/>
            <w:hideMark/>
          </w:tcPr>
          <w:p w14:paraId="611296E7" w14:textId="3C2D791E"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3.3</w:t>
            </w:r>
          </w:p>
        </w:tc>
        <w:tc>
          <w:tcPr>
            <w:tcW w:w="780" w:type="dxa"/>
            <w:tcBorders>
              <w:top w:val="nil"/>
              <w:left w:val="nil"/>
              <w:bottom w:val="nil"/>
              <w:right w:val="nil"/>
            </w:tcBorders>
            <w:shd w:val="clear" w:color="000000" w:fill="FFFFFF"/>
            <w:noWrap/>
            <w:vAlign w:val="bottom"/>
            <w:hideMark/>
          </w:tcPr>
          <w:p w14:paraId="21341587" w14:textId="1E2D0AB6"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-8.2</w:t>
            </w:r>
          </w:p>
        </w:tc>
        <w:tc>
          <w:tcPr>
            <w:tcW w:w="760" w:type="dxa"/>
            <w:tcBorders>
              <w:top w:val="nil"/>
              <w:left w:val="nil"/>
              <w:bottom w:val="nil"/>
              <w:right w:val="nil"/>
            </w:tcBorders>
            <w:shd w:val="clear" w:color="000000" w:fill="FFFFFF"/>
            <w:noWrap/>
            <w:vAlign w:val="bottom"/>
            <w:hideMark/>
          </w:tcPr>
          <w:p w14:paraId="662AAE50" w14:textId="525A857D"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6.4</w:t>
            </w:r>
          </w:p>
        </w:tc>
      </w:tr>
      <w:tr w:rsidR="000A12D0" w:rsidRPr="00D06ED7" w14:paraId="5C22BFCC" w14:textId="77777777" w:rsidTr="00921D22">
        <w:trPr>
          <w:trHeight w:val="290"/>
          <w:jc w:val="center"/>
        </w:trPr>
        <w:tc>
          <w:tcPr>
            <w:tcW w:w="1820" w:type="dxa"/>
            <w:tcBorders>
              <w:top w:val="nil"/>
              <w:left w:val="nil"/>
              <w:bottom w:val="nil"/>
              <w:right w:val="nil"/>
            </w:tcBorders>
            <w:shd w:val="clear" w:color="000000" w:fill="FFFFFF"/>
            <w:noWrap/>
            <w:vAlign w:val="bottom"/>
            <w:hideMark/>
          </w:tcPr>
          <w:p w14:paraId="6745B488" w14:textId="77777777" w:rsidR="000A12D0" w:rsidRPr="00D06ED7" w:rsidRDefault="000A12D0" w:rsidP="000A12D0">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center"/>
            <w:hideMark/>
          </w:tcPr>
          <w:p w14:paraId="782BC1EF" w14:textId="60525B81"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37</w:t>
            </w:r>
          </w:p>
        </w:tc>
        <w:tc>
          <w:tcPr>
            <w:tcW w:w="960" w:type="dxa"/>
            <w:tcBorders>
              <w:top w:val="nil"/>
              <w:left w:val="nil"/>
              <w:bottom w:val="nil"/>
              <w:right w:val="nil"/>
            </w:tcBorders>
            <w:shd w:val="clear" w:color="000000" w:fill="FFFFFF"/>
            <w:noWrap/>
            <w:vAlign w:val="bottom"/>
            <w:hideMark/>
          </w:tcPr>
          <w:p w14:paraId="41BBE9AE" w14:textId="10C6E595"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-55.2</w:t>
            </w:r>
          </w:p>
        </w:tc>
        <w:tc>
          <w:tcPr>
            <w:tcW w:w="840" w:type="dxa"/>
            <w:tcBorders>
              <w:top w:val="nil"/>
              <w:left w:val="nil"/>
              <w:bottom w:val="nil"/>
              <w:right w:val="nil"/>
            </w:tcBorders>
            <w:shd w:val="clear" w:color="000000" w:fill="FFFFFF"/>
            <w:noWrap/>
            <w:vAlign w:val="bottom"/>
            <w:hideMark/>
          </w:tcPr>
          <w:p w14:paraId="61009BCA" w14:textId="07E326D4"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-8.3</w:t>
            </w:r>
          </w:p>
        </w:tc>
        <w:tc>
          <w:tcPr>
            <w:tcW w:w="901" w:type="dxa"/>
            <w:tcBorders>
              <w:top w:val="nil"/>
              <w:left w:val="nil"/>
              <w:bottom w:val="nil"/>
              <w:right w:val="nil"/>
            </w:tcBorders>
            <w:shd w:val="clear" w:color="000000" w:fill="FFFFFF"/>
            <w:noWrap/>
            <w:vAlign w:val="bottom"/>
            <w:hideMark/>
          </w:tcPr>
          <w:p w14:paraId="6F657D94" w14:textId="54838A2A"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-6.1</w:t>
            </w:r>
          </w:p>
        </w:tc>
        <w:tc>
          <w:tcPr>
            <w:tcW w:w="920" w:type="dxa"/>
            <w:tcBorders>
              <w:top w:val="nil"/>
              <w:left w:val="nil"/>
              <w:bottom w:val="nil"/>
              <w:right w:val="nil"/>
            </w:tcBorders>
            <w:shd w:val="clear" w:color="000000" w:fill="FFFFFF"/>
            <w:noWrap/>
            <w:vAlign w:val="bottom"/>
            <w:hideMark/>
          </w:tcPr>
          <w:p w14:paraId="238F97DE" w14:textId="3A6C708F"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-4.6</w:t>
            </w:r>
          </w:p>
        </w:tc>
        <w:tc>
          <w:tcPr>
            <w:tcW w:w="820" w:type="dxa"/>
            <w:tcBorders>
              <w:top w:val="nil"/>
              <w:left w:val="nil"/>
              <w:bottom w:val="nil"/>
              <w:right w:val="nil"/>
            </w:tcBorders>
            <w:shd w:val="clear" w:color="000000" w:fill="FFFFFF"/>
            <w:noWrap/>
            <w:vAlign w:val="bottom"/>
            <w:hideMark/>
          </w:tcPr>
          <w:p w14:paraId="56C1F84A" w14:textId="0B9DCAD1"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1.1</w:t>
            </w:r>
          </w:p>
        </w:tc>
        <w:tc>
          <w:tcPr>
            <w:tcW w:w="780" w:type="dxa"/>
            <w:tcBorders>
              <w:top w:val="nil"/>
              <w:left w:val="nil"/>
              <w:bottom w:val="nil"/>
              <w:right w:val="nil"/>
            </w:tcBorders>
            <w:shd w:val="clear" w:color="000000" w:fill="FFFFFF"/>
            <w:noWrap/>
            <w:vAlign w:val="bottom"/>
            <w:hideMark/>
          </w:tcPr>
          <w:p w14:paraId="6A5F0426" w14:textId="55BB2DA4"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-7.8</w:t>
            </w:r>
          </w:p>
        </w:tc>
        <w:tc>
          <w:tcPr>
            <w:tcW w:w="760" w:type="dxa"/>
            <w:tcBorders>
              <w:top w:val="nil"/>
              <w:left w:val="nil"/>
              <w:bottom w:val="nil"/>
              <w:right w:val="nil"/>
            </w:tcBorders>
            <w:shd w:val="clear" w:color="000000" w:fill="FFFFFF"/>
            <w:noWrap/>
            <w:vAlign w:val="bottom"/>
            <w:hideMark/>
          </w:tcPr>
          <w:p w14:paraId="5A2F1AC4" w14:textId="1AAAF62E"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8.5</w:t>
            </w:r>
          </w:p>
        </w:tc>
      </w:tr>
      <w:tr w:rsidR="000A12D0" w:rsidRPr="00D06ED7" w14:paraId="4376C525" w14:textId="77777777" w:rsidTr="00152E7F">
        <w:trPr>
          <w:trHeight w:val="290"/>
          <w:jc w:val="center"/>
        </w:trPr>
        <w:tc>
          <w:tcPr>
            <w:tcW w:w="1820" w:type="dxa"/>
            <w:tcBorders>
              <w:top w:val="nil"/>
              <w:left w:val="nil"/>
              <w:bottom w:val="nil"/>
              <w:right w:val="nil"/>
            </w:tcBorders>
            <w:shd w:val="clear" w:color="000000" w:fill="FFFFFF"/>
            <w:noWrap/>
            <w:vAlign w:val="bottom"/>
            <w:hideMark/>
          </w:tcPr>
          <w:p w14:paraId="6BB98B39" w14:textId="77777777" w:rsidR="000A12D0" w:rsidRPr="00D06ED7" w:rsidRDefault="000A12D0" w:rsidP="000A12D0">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bottom"/>
            <w:hideMark/>
          </w:tcPr>
          <w:p w14:paraId="481EF2FB" w14:textId="0FD4307C"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149</w:t>
            </w:r>
          </w:p>
        </w:tc>
        <w:tc>
          <w:tcPr>
            <w:tcW w:w="960" w:type="dxa"/>
            <w:tcBorders>
              <w:top w:val="nil"/>
              <w:left w:val="nil"/>
              <w:bottom w:val="nil"/>
              <w:right w:val="nil"/>
            </w:tcBorders>
            <w:shd w:val="clear" w:color="000000" w:fill="FFFFFF"/>
            <w:noWrap/>
            <w:vAlign w:val="bottom"/>
            <w:hideMark/>
          </w:tcPr>
          <w:p w14:paraId="665C68F7" w14:textId="02A756C8"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-38.3</w:t>
            </w:r>
          </w:p>
        </w:tc>
        <w:tc>
          <w:tcPr>
            <w:tcW w:w="840" w:type="dxa"/>
            <w:tcBorders>
              <w:top w:val="nil"/>
              <w:left w:val="nil"/>
              <w:bottom w:val="nil"/>
              <w:right w:val="nil"/>
            </w:tcBorders>
            <w:shd w:val="clear" w:color="000000" w:fill="FFFFFF"/>
            <w:noWrap/>
            <w:vAlign w:val="bottom"/>
            <w:hideMark/>
          </w:tcPr>
          <w:p w14:paraId="0233A726" w14:textId="19A76445"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-10.7</w:t>
            </w:r>
          </w:p>
        </w:tc>
        <w:tc>
          <w:tcPr>
            <w:tcW w:w="901" w:type="dxa"/>
            <w:tcBorders>
              <w:top w:val="nil"/>
              <w:left w:val="nil"/>
              <w:bottom w:val="nil"/>
              <w:right w:val="nil"/>
            </w:tcBorders>
            <w:shd w:val="clear" w:color="000000" w:fill="FFFFFF"/>
            <w:noWrap/>
            <w:vAlign w:val="bottom"/>
            <w:hideMark/>
          </w:tcPr>
          <w:p w14:paraId="12A00100" w14:textId="340FA2BA"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-7.1</w:t>
            </w:r>
          </w:p>
        </w:tc>
        <w:tc>
          <w:tcPr>
            <w:tcW w:w="920" w:type="dxa"/>
            <w:tcBorders>
              <w:top w:val="nil"/>
              <w:left w:val="nil"/>
              <w:bottom w:val="nil"/>
              <w:right w:val="nil"/>
            </w:tcBorders>
            <w:shd w:val="clear" w:color="000000" w:fill="FFFFFF"/>
            <w:noWrap/>
            <w:vAlign w:val="bottom"/>
            <w:hideMark/>
          </w:tcPr>
          <w:p w14:paraId="1F530637" w14:textId="4E158B1E"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-4.7</w:t>
            </w:r>
          </w:p>
        </w:tc>
        <w:tc>
          <w:tcPr>
            <w:tcW w:w="820" w:type="dxa"/>
            <w:tcBorders>
              <w:top w:val="nil"/>
              <w:left w:val="nil"/>
              <w:bottom w:val="nil"/>
              <w:right w:val="nil"/>
            </w:tcBorders>
            <w:shd w:val="clear" w:color="000000" w:fill="FFFFFF"/>
            <w:noWrap/>
            <w:vAlign w:val="bottom"/>
            <w:hideMark/>
          </w:tcPr>
          <w:p w14:paraId="4F2232B6" w14:textId="6EAAA3DB"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3.3</w:t>
            </w:r>
          </w:p>
        </w:tc>
        <w:tc>
          <w:tcPr>
            <w:tcW w:w="780" w:type="dxa"/>
            <w:tcBorders>
              <w:top w:val="nil"/>
              <w:left w:val="nil"/>
              <w:bottom w:val="nil"/>
              <w:right w:val="nil"/>
            </w:tcBorders>
            <w:shd w:val="clear" w:color="000000" w:fill="FFFFFF"/>
            <w:noWrap/>
            <w:vAlign w:val="bottom"/>
            <w:hideMark/>
          </w:tcPr>
          <w:p w14:paraId="6E005BF0" w14:textId="41B32358"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-8.3</w:t>
            </w:r>
          </w:p>
        </w:tc>
        <w:tc>
          <w:tcPr>
            <w:tcW w:w="760" w:type="dxa"/>
            <w:tcBorders>
              <w:top w:val="nil"/>
              <w:left w:val="nil"/>
              <w:bottom w:val="nil"/>
              <w:right w:val="nil"/>
            </w:tcBorders>
            <w:shd w:val="clear" w:color="000000" w:fill="FFFFFF"/>
            <w:noWrap/>
            <w:vAlign w:val="bottom"/>
            <w:hideMark/>
          </w:tcPr>
          <w:p w14:paraId="1ED3EEA4" w14:textId="45A82908"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5.7</w:t>
            </w:r>
          </w:p>
        </w:tc>
      </w:tr>
      <w:tr w:rsidR="00770900" w:rsidRPr="00D06ED7" w14:paraId="0B83F793" w14:textId="77777777" w:rsidTr="00152E7F">
        <w:trPr>
          <w:trHeight w:val="290"/>
          <w:jc w:val="center"/>
        </w:trPr>
        <w:tc>
          <w:tcPr>
            <w:tcW w:w="1820" w:type="dxa"/>
            <w:tcBorders>
              <w:top w:val="nil"/>
              <w:left w:val="nil"/>
              <w:bottom w:val="nil"/>
              <w:right w:val="nil"/>
            </w:tcBorders>
            <w:shd w:val="clear" w:color="000000" w:fill="FFFFFF"/>
            <w:noWrap/>
            <w:vAlign w:val="bottom"/>
          </w:tcPr>
          <w:p w14:paraId="73139197" w14:textId="77777777" w:rsidR="00770900" w:rsidRPr="00D06ED7" w:rsidRDefault="00770900" w:rsidP="005011E9">
            <w:pPr>
              <w:spacing w:after="0" w:line="240" w:lineRule="auto"/>
              <w:rPr>
                <w:rFonts w:ascii="Calibri" w:eastAsia="Times New Roman" w:hAnsi="Calibri" w:cs="Calibri"/>
                <w:color w:val="000000"/>
              </w:rPr>
            </w:pPr>
          </w:p>
        </w:tc>
        <w:tc>
          <w:tcPr>
            <w:tcW w:w="660" w:type="dxa"/>
            <w:tcBorders>
              <w:top w:val="nil"/>
              <w:left w:val="nil"/>
              <w:bottom w:val="nil"/>
              <w:right w:val="nil"/>
            </w:tcBorders>
            <w:shd w:val="clear" w:color="000000" w:fill="FFFFFF"/>
            <w:noWrap/>
            <w:vAlign w:val="bottom"/>
          </w:tcPr>
          <w:p w14:paraId="50C53555" w14:textId="77777777" w:rsidR="00770900" w:rsidRPr="00D06ED7" w:rsidRDefault="00770900" w:rsidP="005011E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000000" w:fill="FFFFFF"/>
            <w:noWrap/>
            <w:vAlign w:val="bottom"/>
          </w:tcPr>
          <w:p w14:paraId="389BD1E0" w14:textId="77777777" w:rsidR="00770900" w:rsidRPr="00D06ED7" w:rsidRDefault="00770900" w:rsidP="005011E9">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000000" w:fill="FFFFFF"/>
            <w:noWrap/>
            <w:vAlign w:val="bottom"/>
          </w:tcPr>
          <w:p w14:paraId="4CCF499A" w14:textId="77777777" w:rsidR="00770900" w:rsidRPr="00D06ED7" w:rsidRDefault="00770900" w:rsidP="005011E9">
            <w:pPr>
              <w:spacing w:after="0" w:line="240" w:lineRule="auto"/>
              <w:rPr>
                <w:rFonts w:ascii="Calibri" w:eastAsia="Times New Roman" w:hAnsi="Calibri" w:cs="Calibri"/>
                <w:color w:val="000000"/>
              </w:rPr>
            </w:pPr>
          </w:p>
        </w:tc>
        <w:tc>
          <w:tcPr>
            <w:tcW w:w="901" w:type="dxa"/>
            <w:tcBorders>
              <w:top w:val="nil"/>
              <w:left w:val="nil"/>
              <w:bottom w:val="nil"/>
              <w:right w:val="nil"/>
            </w:tcBorders>
            <w:shd w:val="clear" w:color="000000" w:fill="FFFFFF"/>
            <w:noWrap/>
            <w:vAlign w:val="bottom"/>
          </w:tcPr>
          <w:p w14:paraId="474780DF" w14:textId="77777777" w:rsidR="00770900" w:rsidRPr="00D06ED7" w:rsidRDefault="00770900" w:rsidP="005011E9">
            <w:pPr>
              <w:spacing w:after="0" w:line="240" w:lineRule="auto"/>
              <w:rPr>
                <w:rFonts w:ascii="Calibri" w:eastAsia="Times New Roman" w:hAnsi="Calibri" w:cs="Calibri"/>
                <w:color w:val="000000"/>
              </w:rPr>
            </w:pPr>
          </w:p>
        </w:tc>
        <w:tc>
          <w:tcPr>
            <w:tcW w:w="920" w:type="dxa"/>
            <w:tcBorders>
              <w:top w:val="nil"/>
              <w:left w:val="nil"/>
              <w:bottom w:val="nil"/>
              <w:right w:val="nil"/>
            </w:tcBorders>
            <w:shd w:val="clear" w:color="000000" w:fill="FFFFFF"/>
            <w:noWrap/>
            <w:vAlign w:val="bottom"/>
          </w:tcPr>
          <w:p w14:paraId="1D27C261" w14:textId="77777777" w:rsidR="00770900" w:rsidRPr="00D06ED7" w:rsidRDefault="00770900" w:rsidP="005011E9">
            <w:pPr>
              <w:spacing w:after="0" w:line="240" w:lineRule="auto"/>
              <w:rPr>
                <w:rFonts w:ascii="Calibri" w:eastAsia="Times New Roman" w:hAnsi="Calibri" w:cs="Calibri"/>
                <w:color w:val="000000"/>
              </w:rPr>
            </w:pPr>
          </w:p>
        </w:tc>
        <w:tc>
          <w:tcPr>
            <w:tcW w:w="820" w:type="dxa"/>
            <w:tcBorders>
              <w:top w:val="nil"/>
              <w:left w:val="nil"/>
              <w:bottom w:val="nil"/>
              <w:right w:val="nil"/>
            </w:tcBorders>
            <w:shd w:val="clear" w:color="000000" w:fill="FFFFFF"/>
            <w:noWrap/>
            <w:vAlign w:val="bottom"/>
          </w:tcPr>
          <w:p w14:paraId="1958D523" w14:textId="77777777" w:rsidR="00770900" w:rsidRPr="00D06ED7" w:rsidRDefault="00770900" w:rsidP="005011E9">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000000" w:fill="FFFFFF"/>
            <w:noWrap/>
            <w:vAlign w:val="bottom"/>
          </w:tcPr>
          <w:p w14:paraId="7FF567A4" w14:textId="77777777" w:rsidR="00770900" w:rsidRPr="00D06ED7" w:rsidRDefault="00770900" w:rsidP="005011E9">
            <w:pPr>
              <w:spacing w:after="0" w:line="240" w:lineRule="auto"/>
              <w:rPr>
                <w:rFonts w:ascii="Calibri" w:eastAsia="Times New Roman" w:hAnsi="Calibri" w:cs="Calibri"/>
                <w:color w:val="000000"/>
              </w:rPr>
            </w:pPr>
          </w:p>
        </w:tc>
        <w:tc>
          <w:tcPr>
            <w:tcW w:w="760" w:type="dxa"/>
            <w:tcBorders>
              <w:top w:val="nil"/>
              <w:left w:val="nil"/>
              <w:bottom w:val="nil"/>
              <w:right w:val="nil"/>
            </w:tcBorders>
            <w:shd w:val="clear" w:color="000000" w:fill="FFFFFF"/>
            <w:noWrap/>
            <w:vAlign w:val="bottom"/>
          </w:tcPr>
          <w:p w14:paraId="04960D2C" w14:textId="77777777" w:rsidR="00770900" w:rsidRPr="00D06ED7" w:rsidRDefault="00770900" w:rsidP="005011E9">
            <w:pPr>
              <w:spacing w:after="0" w:line="240" w:lineRule="auto"/>
              <w:rPr>
                <w:rFonts w:ascii="Calibri" w:eastAsia="Times New Roman" w:hAnsi="Calibri" w:cs="Calibri"/>
                <w:color w:val="000000"/>
              </w:rPr>
            </w:pPr>
          </w:p>
        </w:tc>
      </w:tr>
      <w:tr w:rsidR="00152E7F" w:rsidRPr="00D06ED7" w14:paraId="47570888" w14:textId="77777777" w:rsidTr="00152E7F">
        <w:trPr>
          <w:trHeight w:val="290"/>
          <w:jc w:val="center"/>
        </w:trPr>
        <w:tc>
          <w:tcPr>
            <w:tcW w:w="1820" w:type="dxa"/>
            <w:tcBorders>
              <w:top w:val="nil"/>
              <w:left w:val="nil"/>
              <w:bottom w:val="nil"/>
              <w:right w:val="nil"/>
            </w:tcBorders>
            <w:shd w:val="clear" w:color="000000" w:fill="FFFFFF"/>
            <w:noWrap/>
            <w:vAlign w:val="bottom"/>
            <w:hideMark/>
          </w:tcPr>
          <w:p w14:paraId="50C8FF0F" w14:textId="0529DF64" w:rsidR="00152E7F" w:rsidRPr="00770900" w:rsidRDefault="00152E7F" w:rsidP="005011E9">
            <w:pPr>
              <w:spacing w:after="0" w:line="240" w:lineRule="auto"/>
              <w:rPr>
                <w:rFonts w:ascii="Calibri" w:eastAsia="Times New Roman" w:hAnsi="Calibri" w:cs="Calibri"/>
                <w:b/>
                <w:bCs/>
                <w:color w:val="000000"/>
                <w:sz w:val="24"/>
                <w:szCs w:val="24"/>
              </w:rPr>
            </w:pPr>
            <w:r w:rsidRPr="00D06ED7">
              <w:rPr>
                <w:rFonts w:ascii="Calibri" w:eastAsia="Times New Roman" w:hAnsi="Calibri" w:cs="Calibri"/>
                <w:color w:val="000000"/>
              </w:rPr>
              <w:t> </w:t>
            </w:r>
            <w:r w:rsidR="00770900" w:rsidRPr="00770900">
              <w:rPr>
                <w:rFonts w:ascii="Calibri" w:eastAsia="Times New Roman" w:hAnsi="Calibri" w:cs="Calibri"/>
                <w:b/>
                <w:bCs/>
                <w:color w:val="000000"/>
                <w:sz w:val="24"/>
                <w:szCs w:val="24"/>
              </w:rPr>
              <w:t>High tourism</w:t>
            </w:r>
          </w:p>
        </w:tc>
        <w:tc>
          <w:tcPr>
            <w:tcW w:w="660" w:type="dxa"/>
            <w:tcBorders>
              <w:top w:val="nil"/>
              <w:left w:val="nil"/>
              <w:bottom w:val="nil"/>
              <w:right w:val="nil"/>
            </w:tcBorders>
            <w:shd w:val="clear" w:color="000000" w:fill="FFFFFF"/>
            <w:noWrap/>
            <w:vAlign w:val="bottom"/>
            <w:hideMark/>
          </w:tcPr>
          <w:p w14:paraId="49EDB2C6"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EF024FB"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1DC77CDD"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090DEF4C"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76A1F53F"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3E4A6C65"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482D37EE"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09C78C1E" w14:textId="77777777" w:rsidR="00152E7F" w:rsidRPr="00D06ED7" w:rsidRDefault="00152E7F" w:rsidP="005011E9">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r w:rsidR="000A12D0" w:rsidRPr="00D06ED7" w14:paraId="5FD5A646" w14:textId="77777777" w:rsidTr="00152E7F">
        <w:trPr>
          <w:trHeight w:val="290"/>
          <w:jc w:val="center"/>
        </w:trPr>
        <w:tc>
          <w:tcPr>
            <w:tcW w:w="1820" w:type="dxa"/>
            <w:tcBorders>
              <w:top w:val="nil"/>
              <w:left w:val="nil"/>
              <w:bottom w:val="nil"/>
              <w:right w:val="nil"/>
            </w:tcBorders>
            <w:shd w:val="clear" w:color="000000" w:fill="FFFFFF"/>
            <w:noWrap/>
            <w:vAlign w:val="bottom"/>
            <w:hideMark/>
          </w:tcPr>
          <w:p w14:paraId="1EF772C8" w14:textId="77777777" w:rsidR="000A12D0" w:rsidRPr="00D06ED7" w:rsidRDefault="000A12D0" w:rsidP="000A12D0">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hideMark/>
          </w:tcPr>
          <w:p w14:paraId="15FB13BD" w14:textId="193ACE90"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36</w:t>
            </w:r>
          </w:p>
        </w:tc>
        <w:tc>
          <w:tcPr>
            <w:tcW w:w="960" w:type="dxa"/>
            <w:tcBorders>
              <w:top w:val="nil"/>
              <w:left w:val="nil"/>
              <w:bottom w:val="nil"/>
              <w:right w:val="nil"/>
            </w:tcBorders>
            <w:shd w:val="clear" w:color="000000" w:fill="FFFFFF"/>
            <w:noWrap/>
            <w:vAlign w:val="bottom"/>
            <w:hideMark/>
          </w:tcPr>
          <w:p w14:paraId="5C30EC29" w14:textId="792E1742"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-55.2</w:t>
            </w:r>
          </w:p>
        </w:tc>
        <w:tc>
          <w:tcPr>
            <w:tcW w:w="840" w:type="dxa"/>
            <w:tcBorders>
              <w:top w:val="nil"/>
              <w:left w:val="nil"/>
              <w:bottom w:val="nil"/>
              <w:right w:val="nil"/>
            </w:tcBorders>
            <w:shd w:val="clear" w:color="000000" w:fill="FFFFFF"/>
            <w:noWrap/>
            <w:vAlign w:val="bottom"/>
            <w:hideMark/>
          </w:tcPr>
          <w:p w14:paraId="5BE0CB11" w14:textId="2B95FC0C"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-18.8</w:t>
            </w:r>
          </w:p>
        </w:tc>
        <w:tc>
          <w:tcPr>
            <w:tcW w:w="901" w:type="dxa"/>
            <w:tcBorders>
              <w:top w:val="nil"/>
              <w:left w:val="nil"/>
              <w:bottom w:val="nil"/>
              <w:right w:val="nil"/>
            </w:tcBorders>
            <w:shd w:val="clear" w:color="000000" w:fill="FFFFFF"/>
            <w:noWrap/>
            <w:vAlign w:val="bottom"/>
            <w:hideMark/>
          </w:tcPr>
          <w:p w14:paraId="59DB33C6" w14:textId="11BD3884"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-12.2</w:t>
            </w:r>
          </w:p>
        </w:tc>
        <w:tc>
          <w:tcPr>
            <w:tcW w:w="920" w:type="dxa"/>
            <w:tcBorders>
              <w:top w:val="nil"/>
              <w:left w:val="nil"/>
              <w:bottom w:val="nil"/>
              <w:right w:val="nil"/>
            </w:tcBorders>
            <w:shd w:val="clear" w:color="000000" w:fill="FFFFFF"/>
            <w:noWrap/>
            <w:vAlign w:val="bottom"/>
            <w:hideMark/>
          </w:tcPr>
          <w:p w14:paraId="495E22A6" w14:textId="3123287A"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-10.0</w:t>
            </w:r>
          </w:p>
        </w:tc>
        <w:tc>
          <w:tcPr>
            <w:tcW w:w="820" w:type="dxa"/>
            <w:tcBorders>
              <w:top w:val="nil"/>
              <w:left w:val="nil"/>
              <w:bottom w:val="nil"/>
              <w:right w:val="nil"/>
            </w:tcBorders>
            <w:shd w:val="clear" w:color="000000" w:fill="FFFFFF"/>
            <w:noWrap/>
            <w:vAlign w:val="bottom"/>
            <w:hideMark/>
          </w:tcPr>
          <w:p w14:paraId="3B640D7A" w14:textId="74EFBFCE"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-4.4</w:t>
            </w:r>
          </w:p>
        </w:tc>
        <w:tc>
          <w:tcPr>
            <w:tcW w:w="780" w:type="dxa"/>
            <w:tcBorders>
              <w:top w:val="nil"/>
              <w:left w:val="nil"/>
              <w:bottom w:val="nil"/>
              <w:right w:val="nil"/>
            </w:tcBorders>
            <w:shd w:val="clear" w:color="000000" w:fill="FFFFFF"/>
            <w:noWrap/>
            <w:vAlign w:val="bottom"/>
            <w:hideMark/>
          </w:tcPr>
          <w:p w14:paraId="0865CCA1" w14:textId="4E5E0B1F"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-15.6</w:t>
            </w:r>
          </w:p>
        </w:tc>
        <w:tc>
          <w:tcPr>
            <w:tcW w:w="760" w:type="dxa"/>
            <w:tcBorders>
              <w:top w:val="nil"/>
              <w:left w:val="nil"/>
              <w:bottom w:val="nil"/>
              <w:right w:val="nil"/>
            </w:tcBorders>
            <w:shd w:val="clear" w:color="000000" w:fill="FFFFFF"/>
            <w:noWrap/>
            <w:vAlign w:val="bottom"/>
            <w:hideMark/>
          </w:tcPr>
          <w:p w14:paraId="4467DEA8" w14:textId="33F96018"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9.6</w:t>
            </w:r>
          </w:p>
        </w:tc>
      </w:tr>
      <w:tr w:rsidR="000A12D0" w:rsidRPr="00D06ED7" w14:paraId="5784E8FD" w14:textId="77777777" w:rsidTr="00152E7F">
        <w:trPr>
          <w:trHeight w:val="290"/>
          <w:jc w:val="center"/>
        </w:trPr>
        <w:tc>
          <w:tcPr>
            <w:tcW w:w="1820" w:type="dxa"/>
            <w:tcBorders>
              <w:top w:val="nil"/>
              <w:left w:val="nil"/>
              <w:bottom w:val="nil"/>
              <w:right w:val="nil"/>
            </w:tcBorders>
            <w:shd w:val="clear" w:color="000000" w:fill="FFFFFF"/>
            <w:noWrap/>
            <w:vAlign w:val="bottom"/>
            <w:hideMark/>
          </w:tcPr>
          <w:p w14:paraId="42668496" w14:textId="77777777" w:rsidR="000A12D0" w:rsidRPr="00D06ED7" w:rsidRDefault="000A12D0" w:rsidP="000A12D0">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bottom"/>
            <w:hideMark/>
          </w:tcPr>
          <w:p w14:paraId="71F9421C" w14:textId="6897CD71"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6</w:t>
            </w:r>
          </w:p>
        </w:tc>
        <w:tc>
          <w:tcPr>
            <w:tcW w:w="960" w:type="dxa"/>
            <w:tcBorders>
              <w:top w:val="nil"/>
              <w:left w:val="nil"/>
              <w:bottom w:val="nil"/>
              <w:right w:val="nil"/>
            </w:tcBorders>
            <w:shd w:val="clear" w:color="000000" w:fill="FFFFFF"/>
            <w:noWrap/>
            <w:vAlign w:val="bottom"/>
            <w:hideMark/>
          </w:tcPr>
          <w:p w14:paraId="026A214A" w14:textId="0980D3B2"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-55.2</w:t>
            </w:r>
          </w:p>
        </w:tc>
        <w:tc>
          <w:tcPr>
            <w:tcW w:w="840" w:type="dxa"/>
            <w:tcBorders>
              <w:top w:val="nil"/>
              <w:left w:val="nil"/>
              <w:bottom w:val="nil"/>
              <w:right w:val="nil"/>
            </w:tcBorders>
            <w:shd w:val="clear" w:color="000000" w:fill="FFFFFF"/>
            <w:noWrap/>
            <w:vAlign w:val="bottom"/>
            <w:hideMark/>
          </w:tcPr>
          <w:p w14:paraId="3C8BC3C3" w14:textId="4EB24B94"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-12.1</w:t>
            </w:r>
          </w:p>
        </w:tc>
        <w:tc>
          <w:tcPr>
            <w:tcW w:w="901" w:type="dxa"/>
            <w:tcBorders>
              <w:top w:val="nil"/>
              <w:left w:val="nil"/>
              <w:bottom w:val="nil"/>
              <w:right w:val="nil"/>
            </w:tcBorders>
            <w:shd w:val="clear" w:color="000000" w:fill="FFFFFF"/>
            <w:noWrap/>
            <w:vAlign w:val="bottom"/>
            <w:hideMark/>
          </w:tcPr>
          <w:p w14:paraId="58E1EC4D" w14:textId="0B23AFE6"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-9.9</w:t>
            </w:r>
          </w:p>
        </w:tc>
        <w:tc>
          <w:tcPr>
            <w:tcW w:w="920" w:type="dxa"/>
            <w:tcBorders>
              <w:top w:val="nil"/>
              <w:left w:val="nil"/>
              <w:bottom w:val="nil"/>
              <w:right w:val="nil"/>
            </w:tcBorders>
            <w:shd w:val="clear" w:color="000000" w:fill="FFFFFF"/>
            <w:noWrap/>
            <w:vAlign w:val="bottom"/>
            <w:hideMark/>
          </w:tcPr>
          <w:p w14:paraId="6E333C5B" w14:textId="218B2472"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-8.3</w:t>
            </w:r>
          </w:p>
        </w:tc>
        <w:tc>
          <w:tcPr>
            <w:tcW w:w="820" w:type="dxa"/>
            <w:tcBorders>
              <w:top w:val="nil"/>
              <w:left w:val="nil"/>
              <w:bottom w:val="nil"/>
              <w:right w:val="nil"/>
            </w:tcBorders>
            <w:shd w:val="clear" w:color="000000" w:fill="FFFFFF"/>
            <w:noWrap/>
            <w:vAlign w:val="bottom"/>
            <w:hideMark/>
          </w:tcPr>
          <w:p w14:paraId="3E9F6EF6" w14:textId="4F4148F2"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-8.0</w:t>
            </w:r>
          </w:p>
        </w:tc>
        <w:tc>
          <w:tcPr>
            <w:tcW w:w="780" w:type="dxa"/>
            <w:tcBorders>
              <w:top w:val="nil"/>
              <w:left w:val="nil"/>
              <w:bottom w:val="nil"/>
              <w:right w:val="nil"/>
            </w:tcBorders>
            <w:shd w:val="clear" w:color="000000" w:fill="FFFFFF"/>
            <w:noWrap/>
            <w:vAlign w:val="bottom"/>
            <w:hideMark/>
          </w:tcPr>
          <w:p w14:paraId="0570AF9C" w14:textId="6976DD44"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-17.2</w:t>
            </w:r>
          </w:p>
        </w:tc>
        <w:tc>
          <w:tcPr>
            <w:tcW w:w="760" w:type="dxa"/>
            <w:tcBorders>
              <w:top w:val="nil"/>
              <w:left w:val="nil"/>
              <w:bottom w:val="nil"/>
              <w:right w:val="nil"/>
            </w:tcBorders>
            <w:shd w:val="clear" w:color="000000" w:fill="FFFFFF"/>
            <w:noWrap/>
            <w:vAlign w:val="bottom"/>
            <w:hideMark/>
          </w:tcPr>
          <w:p w14:paraId="4F0D97C9" w14:textId="565549A9"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18.7</w:t>
            </w:r>
          </w:p>
        </w:tc>
      </w:tr>
      <w:tr w:rsidR="000A12D0" w:rsidRPr="00D06ED7" w14:paraId="0D527378" w14:textId="77777777" w:rsidTr="00152E7F">
        <w:trPr>
          <w:trHeight w:val="290"/>
          <w:jc w:val="center"/>
        </w:trPr>
        <w:tc>
          <w:tcPr>
            <w:tcW w:w="1820" w:type="dxa"/>
            <w:tcBorders>
              <w:top w:val="nil"/>
              <w:left w:val="nil"/>
              <w:bottom w:val="nil"/>
              <w:right w:val="nil"/>
            </w:tcBorders>
            <w:shd w:val="clear" w:color="000000" w:fill="FFFFFF"/>
            <w:noWrap/>
            <w:vAlign w:val="bottom"/>
            <w:hideMark/>
          </w:tcPr>
          <w:p w14:paraId="743CF5C6" w14:textId="77777777" w:rsidR="000A12D0" w:rsidRPr="00D06ED7" w:rsidRDefault="000A12D0" w:rsidP="000A12D0">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bottom"/>
            <w:hideMark/>
          </w:tcPr>
          <w:p w14:paraId="61AD9813" w14:textId="58FEFF28"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30</w:t>
            </w:r>
          </w:p>
        </w:tc>
        <w:tc>
          <w:tcPr>
            <w:tcW w:w="960" w:type="dxa"/>
            <w:tcBorders>
              <w:top w:val="nil"/>
              <w:left w:val="nil"/>
              <w:bottom w:val="nil"/>
              <w:right w:val="nil"/>
            </w:tcBorders>
            <w:shd w:val="clear" w:color="000000" w:fill="FFFFFF"/>
            <w:noWrap/>
            <w:vAlign w:val="bottom"/>
            <w:hideMark/>
          </w:tcPr>
          <w:p w14:paraId="5BB00783" w14:textId="2498CDDA"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-38.3</w:t>
            </w:r>
          </w:p>
        </w:tc>
        <w:tc>
          <w:tcPr>
            <w:tcW w:w="840" w:type="dxa"/>
            <w:tcBorders>
              <w:top w:val="nil"/>
              <w:left w:val="nil"/>
              <w:bottom w:val="nil"/>
              <w:right w:val="nil"/>
            </w:tcBorders>
            <w:shd w:val="clear" w:color="000000" w:fill="FFFFFF"/>
            <w:noWrap/>
            <w:vAlign w:val="bottom"/>
            <w:hideMark/>
          </w:tcPr>
          <w:p w14:paraId="0B1D1B0A" w14:textId="38C486AB"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-19.0</w:t>
            </w:r>
          </w:p>
        </w:tc>
        <w:tc>
          <w:tcPr>
            <w:tcW w:w="901" w:type="dxa"/>
            <w:tcBorders>
              <w:top w:val="nil"/>
              <w:left w:val="nil"/>
              <w:bottom w:val="nil"/>
              <w:right w:val="nil"/>
            </w:tcBorders>
            <w:shd w:val="clear" w:color="000000" w:fill="FFFFFF"/>
            <w:noWrap/>
            <w:vAlign w:val="bottom"/>
            <w:hideMark/>
          </w:tcPr>
          <w:p w14:paraId="76A2F811" w14:textId="519097B6"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-15.7</w:t>
            </w:r>
          </w:p>
        </w:tc>
        <w:tc>
          <w:tcPr>
            <w:tcW w:w="920" w:type="dxa"/>
            <w:tcBorders>
              <w:top w:val="nil"/>
              <w:left w:val="nil"/>
              <w:bottom w:val="nil"/>
              <w:right w:val="nil"/>
            </w:tcBorders>
            <w:shd w:val="clear" w:color="000000" w:fill="FFFFFF"/>
            <w:noWrap/>
            <w:vAlign w:val="bottom"/>
            <w:hideMark/>
          </w:tcPr>
          <w:p w14:paraId="65138F2C" w14:textId="60B0D70E"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-10.3</w:t>
            </w:r>
          </w:p>
        </w:tc>
        <w:tc>
          <w:tcPr>
            <w:tcW w:w="820" w:type="dxa"/>
            <w:tcBorders>
              <w:top w:val="nil"/>
              <w:left w:val="nil"/>
              <w:bottom w:val="nil"/>
              <w:right w:val="nil"/>
            </w:tcBorders>
            <w:shd w:val="clear" w:color="000000" w:fill="FFFFFF"/>
            <w:noWrap/>
            <w:vAlign w:val="bottom"/>
            <w:hideMark/>
          </w:tcPr>
          <w:p w14:paraId="3A687383" w14:textId="0A015011"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-4.4</w:t>
            </w:r>
          </w:p>
        </w:tc>
        <w:tc>
          <w:tcPr>
            <w:tcW w:w="780" w:type="dxa"/>
            <w:tcBorders>
              <w:top w:val="nil"/>
              <w:left w:val="nil"/>
              <w:bottom w:val="nil"/>
              <w:right w:val="nil"/>
            </w:tcBorders>
            <w:shd w:val="clear" w:color="000000" w:fill="FFFFFF"/>
            <w:noWrap/>
            <w:vAlign w:val="bottom"/>
            <w:hideMark/>
          </w:tcPr>
          <w:p w14:paraId="54242AFA" w14:textId="367D8734"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-15.3</w:t>
            </w:r>
          </w:p>
        </w:tc>
        <w:tc>
          <w:tcPr>
            <w:tcW w:w="760" w:type="dxa"/>
            <w:tcBorders>
              <w:top w:val="nil"/>
              <w:left w:val="nil"/>
              <w:bottom w:val="nil"/>
              <w:right w:val="nil"/>
            </w:tcBorders>
            <w:shd w:val="clear" w:color="000000" w:fill="FFFFFF"/>
            <w:noWrap/>
            <w:vAlign w:val="bottom"/>
            <w:hideMark/>
          </w:tcPr>
          <w:p w14:paraId="0A91901E" w14:textId="2DAB0818" w:rsidR="000A12D0" w:rsidRPr="00D06ED7" w:rsidRDefault="000A12D0" w:rsidP="000A12D0">
            <w:pPr>
              <w:spacing w:after="0" w:line="240" w:lineRule="auto"/>
              <w:jc w:val="right"/>
              <w:rPr>
                <w:rFonts w:ascii="Calibri" w:eastAsia="Times New Roman" w:hAnsi="Calibri" w:cs="Calibri"/>
                <w:color w:val="000000"/>
              </w:rPr>
            </w:pPr>
            <w:r>
              <w:rPr>
                <w:rFonts w:ascii="Calibri" w:hAnsi="Calibri" w:cs="Calibri"/>
                <w:color w:val="000000"/>
              </w:rPr>
              <w:t>7.1</w:t>
            </w:r>
          </w:p>
        </w:tc>
      </w:tr>
      <w:tr w:rsidR="00770900" w:rsidRPr="00D06ED7" w14:paraId="38C41B94" w14:textId="77777777" w:rsidTr="00152E7F">
        <w:trPr>
          <w:trHeight w:val="290"/>
          <w:jc w:val="center"/>
        </w:trPr>
        <w:tc>
          <w:tcPr>
            <w:tcW w:w="1820" w:type="dxa"/>
            <w:tcBorders>
              <w:top w:val="nil"/>
              <w:left w:val="nil"/>
              <w:bottom w:val="nil"/>
              <w:right w:val="nil"/>
            </w:tcBorders>
            <w:shd w:val="clear" w:color="000000" w:fill="FFFFFF"/>
            <w:noWrap/>
            <w:vAlign w:val="bottom"/>
          </w:tcPr>
          <w:p w14:paraId="532877E0" w14:textId="77777777" w:rsidR="00770900" w:rsidRPr="00D06ED7" w:rsidRDefault="00770900" w:rsidP="005011E9">
            <w:pPr>
              <w:spacing w:after="0" w:line="240" w:lineRule="auto"/>
              <w:rPr>
                <w:rFonts w:ascii="Calibri" w:eastAsia="Times New Roman" w:hAnsi="Calibri" w:cs="Calibri"/>
                <w:color w:val="000000"/>
              </w:rPr>
            </w:pPr>
          </w:p>
        </w:tc>
        <w:tc>
          <w:tcPr>
            <w:tcW w:w="660" w:type="dxa"/>
            <w:tcBorders>
              <w:top w:val="nil"/>
              <w:left w:val="nil"/>
              <w:bottom w:val="nil"/>
              <w:right w:val="nil"/>
            </w:tcBorders>
            <w:shd w:val="clear" w:color="000000" w:fill="FFFFFF"/>
            <w:noWrap/>
            <w:vAlign w:val="bottom"/>
          </w:tcPr>
          <w:p w14:paraId="528BAB4F" w14:textId="77777777" w:rsidR="00770900" w:rsidRPr="00D06ED7" w:rsidRDefault="00770900" w:rsidP="005011E9">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000000" w:fill="FFFFFF"/>
            <w:noWrap/>
            <w:vAlign w:val="bottom"/>
          </w:tcPr>
          <w:p w14:paraId="5337D4DB" w14:textId="77777777" w:rsidR="00770900" w:rsidRPr="00D06ED7" w:rsidRDefault="00770900" w:rsidP="005011E9">
            <w:pPr>
              <w:spacing w:after="0" w:line="240" w:lineRule="auto"/>
              <w:jc w:val="right"/>
              <w:rPr>
                <w:rFonts w:ascii="Calibri" w:eastAsia="Times New Roman" w:hAnsi="Calibri" w:cs="Calibri"/>
                <w:color w:val="000000"/>
              </w:rPr>
            </w:pPr>
          </w:p>
        </w:tc>
        <w:tc>
          <w:tcPr>
            <w:tcW w:w="840" w:type="dxa"/>
            <w:tcBorders>
              <w:top w:val="nil"/>
              <w:left w:val="nil"/>
              <w:bottom w:val="nil"/>
              <w:right w:val="nil"/>
            </w:tcBorders>
            <w:shd w:val="clear" w:color="000000" w:fill="FFFFFF"/>
            <w:noWrap/>
            <w:vAlign w:val="bottom"/>
          </w:tcPr>
          <w:p w14:paraId="1FEDC9A0" w14:textId="77777777" w:rsidR="00770900" w:rsidRPr="00D06ED7" w:rsidRDefault="00770900" w:rsidP="005011E9">
            <w:pPr>
              <w:spacing w:after="0" w:line="240" w:lineRule="auto"/>
              <w:jc w:val="right"/>
              <w:rPr>
                <w:rFonts w:ascii="Calibri" w:eastAsia="Times New Roman" w:hAnsi="Calibri" w:cs="Calibri"/>
                <w:color w:val="000000"/>
              </w:rPr>
            </w:pPr>
          </w:p>
        </w:tc>
        <w:tc>
          <w:tcPr>
            <w:tcW w:w="901" w:type="dxa"/>
            <w:tcBorders>
              <w:top w:val="nil"/>
              <w:left w:val="nil"/>
              <w:bottom w:val="nil"/>
              <w:right w:val="nil"/>
            </w:tcBorders>
            <w:shd w:val="clear" w:color="000000" w:fill="FFFFFF"/>
            <w:noWrap/>
            <w:vAlign w:val="bottom"/>
          </w:tcPr>
          <w:p w14:paraId="005CC077" w14:textId="77777777" w:rsidR="00770900" w:rsidRPr="00D06ED7" w:rsidRDefault="00770900" w:rsidP="005011E9">
            <w:pPr>
              <w:spacing w:after="0" w:line="240" w:lineRule="auto"/>
              <w:jc w:val="right"/>
              <w:rPr>
                <w:rFonts w:ascii="Calibri" w:eastAsia="Times New Roman" w:hAnsi="Calibri" w:cs="Calibri"/>
                <w:color w:val="000000"/>
              </w:rPr>
            </w:pPr>
          </w:p>
        </w:tc>
        <w:tc>
          <w:tcPr>
            <w:tcW w:w="920" w:type="dxa"/>
            <w:tcBorders>
              <w:top w:val="nil"/>
              <w:left w:val="nil"/>
              <w:bottom w:val="nil"/>
              <w:right w:val="nil"/>
            </w:tcBorders>
            <w:shd w:val="clear" w:color="000000" w:fill="FFFFFF"/>
            <w:noWrap/>
            <w:vAlign w:val="bottom"/>
          </w:tcPr>
          <w:p w14:paraId="015057B2" w14:textId="77777777" w:rsidR="00770900" w:rsidRPr="00D06ED7" w:rsidRDefault="00770900" w:rsidP="005011E9">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000000" w:fill="FFFFFF"/>
            <w:noWrap/>
            <w:vAlign w:val="bottom"/>
          </w:tcPr>
          <w:p w14:paraId="0240FF91" w14:textId="77777777" w:rsidR="00770900" w:rsidRPr="00D06ED7" w:rsidRDefault="00770900" w:rsidP="005011E9">
            <w:pPr>
              <w:spacing w:after="0" w:line="240" w:lineRule="auto"/>
              <w:jc w:val="right"/>
              <w:rPr>
                <w:rFonts w:ascii="Calibri" w:eastAsia="Times New Roman" w:hAnsi="Calibri" w:cs="Calibri"/>
                <w:color w:val="000000"/>
              </w:rPr>
            </w:pPr>
          </w:p>
        </w:tc>
        <w:tc>
          <w:tcPr>
            <w:tcW w:w="780" w:type="dxa"/>
            <w:tcBorders>
              <w:top w:val="nil"/>
              <w:left w:val="nil"/>
              <w:bottom w:val="nil"/>
              <w:right w:val="nil"/>
            </w:tcBorders>
            <w:shd w:val="clear" w:color="000000" w:fill="FFFFFF"/>
            <w:noWrap/>
            <w:vAlign w:val="bottom"/>
          </w:tcPr>
          <w:p w14:paraId="12990C7F" w14:textId="77777777" w:rsidR="00770900" w:rsidRPr="00D06ED7" w:rsidRDefault="00770900" w:rsidP="005011E9">
            <w:pPr>
              <w:spacing w:after="0" w:line="240" w:lineRule="auto"/>
              <w:jc w:val="right"/>
              <w:rPr>
                <w:rFonts w:ascii="Calibri" w:eastAsia="Times New Roman" w:hAnsi="Calibri" w:cs="Calibri"/>
                <w:color w:val="000000"/>
              </w:rPr>
            </w:pPr>
          </w:p>
        </w:tc>
        <w:tc>
          <w:tcPr>
            <w:tcW w:w="760" w:type="dxa"/>
            <w:tcBorders>
              <w:top w:val="nil"/>
              <w:left w:val="nil"/>
              <w:bottom w:val="nil"/>
              <w:right w:val="nil"/>
            </w:tcBorders>
            <w:shd w:val="clear" w:color="000000" w:fill="FFFFFF"/>
            <w:noWrap/>
            <w:vAlign w:val="bottom"/>
          </w:tcPr>
          <w:p w14:paraId="14812062" w14:textId="77777777" w:rsidR="00770900" w:rsidRPr="00D06ED7" w:rsidRDefault="00770900" w:rsidP="005011E9">
            <w:pPr>
              <w:spacing w:after="0" w:line="240" w:lineRule="auto"/>
              <w:jc w:val="right"/>
              <w:rPr>
                <w:rFonts w:ascii="Calibri" w:eastAsia="Times New Roman" w:hAnsi="Calibri" w:cs="Calibri"/>
                <w:color w:val="000000"/>
              </w:rPr>
            </w:pPr>
          </w:p>
        </w:tc>
      </w:tr>
      <w:tr w:rsidR="00770900" w:rsidRPr="00D06ED7" w14:paraId="63EE8E95" w14:textId="77777777" w:rsidTr="00152E7F">
        <w:trPr>
          <w:trHeight w:val="290"/>
          <w:jc w:val="center"/>
        </w:trPr>
        <w:tc>
          <w:tcPr>
            <w:tcW w:w="1820" w:type="dxa"/>
            <w:tcBorders>
              <w:top w:val="nil"/>
              <w:left w:val="nil"/>
              <w:bottom w:val="nil"/>
              <w:right w:val="nil"/>
            </w:tcBorders>
            <w:shd w:val="clear" w:color="000000" w:fill="FFFFFF"/>
            <w:noWrap/>
            <w:vAlign w:val="bottom"/>
          </w:tcPr>
          <w:p w14:paraId="24DC377C" w14:textId="7FAE192A" w:rsidR="00770900" w:rsidRPr="00770900" w:rsidRDefault="00770900" w:rsidP="005011E9">
            <w:pPr>
              <w:spacing w:after="0" w:line="240" w:lineRule="auto"/>
              <w:rPr>
                <w:rFonts w:ascii="Calibri" w:eastAsia="Times New Roman" w:hAnsi="Calibri" w:cs="Calibri"/>
                <w:b/>
                <w:bCs/>
                <w:color w:val="000000"/>
                <w:sz w:val="24"/>
                <w:szCs w:val="24"/>
              </w:rPr>
            </w:pPr>
            <w:r w:rsidRPr="00770900">
              <w:rPr>
                <w:rFonts w:ascii="Calibri" w:eastAsia="Times New Roman" w:hAnsi="Calibri" w:cs="Calibri"/>
                <w:b/>
                <w:bCs/>
                <w:color w:val="000000"/>
                <w:sz w:val="24"/>
                <w:szCs w:val="24"/>
              </w:rPr>
              <w:t>Other countries</w:t>
            </w:r>
          </w:p>
        </w:tc>
        <w:tc>
          <w:tcPr>
            <w:tcW w:w="660" w:type="dxa"/>
            <w:tcBorders>
              <w:top w:val="nil"/>
              <w:left w:val="nil"/>
              <w:bottom w:val="nil"/>
              <w:right w:val="nil"/>
            </w:tcBorders>
            <w:shd w:val="clear" w:color="000000" w:fill="FFFFFF"/>
            <w:noWrap/>
            <w:vAlign w:val="bottom"/>
          </w:tcPr>
          <w:p w14:paraId="2F494E50" w14:textId="77777777" w:rsidR="00770900" w:rsidRPr="00D06ED7" w:rsidRDefault="00770900" w:rsidP="005011E9">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000000" w:fill="FFFFFF"/>
            <w:noWrap/>
            <w:vAlign w:val="bottom"/>
          </w:tcPr>
          <w:p w14:paraId="2A4E2ABB" w14:textId="77777777" w:rsidR="00770900" w:rsidRPr="00D06ED7" w:rsidRDefault="00770900" w:rsidP="005011E9">
            <w:pPr>
              <w:spacing w:after="0" w:line="240" w:lineRule="auto"/>
              <w:jc w:val="right"/>
              <w:rPr>
                <w:rFonts w:ascii="Calibri" w:eastAsia="Times New Roman" w:hAnsi="Calibri" w:cs="Calibri"/>
                <w:color w:val="000000"/>
              </w:rPr>
            </w:pPr>
          </w:p>
        </w:tc>
        <w:tc>
          <w:tcPr>
            <w:tcW w:w="840" w:type="dxa"/>
            <w:tcBorders>
              <w:top w:val="nil"/>
              <w:left w:val="nil"/>
              <w:bottom w:val="nil"/>
              <w:right w:val="nil"/>
            </w:tcBorders>
            <w:shd w:val="clear" w:color="000000" w:fill="FFFFFF"/>
            <w:noWrap/>
            <w:vAlign w:val="bottom"/>
          </w:tcPr>
          <w:p w14:paraId="13CA0F58" w14:textId="77777777" w:rsidR="00770900" w:rsidRPr="00D06ED7" w:rsidRDefault="00770900" w:rsidP="005011E9">
            <w:pPr>
              <w:spacing w:after="0" w:line="240" w:lineRule="auto"/>
              <w:jc w:val="right"/>
              <w:rPr>
                <w:rFonts w:ascii="Calibri" w:eastAsia="Times New Roman" w:hAnsi="Calibri" w:cs="Calibri"/>
                <w:color w:val="000000"/>
              </w:rPr>
            </w:pPr>
          </w:p>
        </w:tc>
        <w:tc>
          <w:tcPr>
            <w:tcW w:w="901" w:type="dxa"/>
            <w:tcBorders>
              <w:top w:val="nil"/>
              <w:left w:val="nil"/>
              <w:bottom w:val="nil"/>
              <w:right w:val="nil"/>
            </w:tcBorders>
            <w:shd w:val="clear" w:color="000000" w:fill="FFFFFF"/>
            <w:noWrap/>
            <w:vAlign w:val="bottom"/>
          </w:tcPr>
          <w:p w14:paraId="49BB5A6A" w14:textId="77777777" w:rsidR="00770900" w:rsidRPr="00D06ED7" w:rsidRDefault="00770900" w:rsidP="005011E9">
            <w:pPr>
              <w:spacing w:after="0" w:line="240" w:lineRule="auto"/>
              <w:jc w:val="right"/>
              <w:rPr>
                <w:rFonts w:ascii="Calibri" w:eastAsia="Times New Roman" w:hAnsi="Calibri" w:cs="Calibri"/>
                <w:color w:val="000000"/>
              </w:rPr>
            </w:pPr>
          </w:p>
        </w:tc>
        <w:tc>
          <w:tcPr>
            <w:tcW w:w="920" w:type="dxa"/>
            <w:tcBorders>
              <w:top w:val="nil"/>
              <w:left w:val="nil"/>
              <w:bottom w:val="nil"/>
              <w:right w:val="nil"/>
            </w:tcBorders>
            <w:shd w:val="clear" w:color="000000" w:fill="FFFFFF"/>
            <w:noWrap/>
            <w:vAlign w:val="bottom"/>
          </w:tcPr>
          <w:p w14:paraId="33887E3C" w14:textId="77777777" w:rsidR="00770900" w:rsidRPr="00D06ED7" w:rsidRDefault="00770900" w:rsidP="005011E9">
            <w:pPr>
              <w:spacing w:after="0" w:line="240" w:lineRule="auto"/>
              <w:jc w:val="right"/>
              <w:rPr>
                <w:rFonts w:ascii="Calibri" w:eastAsia="Times New Roman" w:hAnsi="Calibri" w:cs="Calibri"/>
                <w:color w:val="000000"/>
              </w:rPr>
            </w:pPr>
          </w:p>
        </w:tc>
        <w:tc>
          <w:tcPr>
            <w:tcW w:w="820" w:type="dxa"/>
            <w:tcBorders>
              <w:top w:val="nil"/>
              <w:left w:val="nil"/>
              <w:bottom w:val="nil"/>
              <w:right w:val="nil"/>
            </w:tcBorders>
            <w:shd w:val="clear" w:color="000000" w:fill="FFFFFF"/>
            <w:noWrap/>
            <w:vAlign w:val="bottom"/>
          </w:tcPr>
          <w:p w14:paraId="165F8297" w14:textId="77777777" w:rsidR="00770900" w:rsidRPr="00D06ED7" w:rsidRDefault="00770900" w:rsidP="005011E9">
            <w:pPr>
              <w:spacing w:after="0" w:line="240" w:lineRule="auto"/>
              <w:jc w:val="right"/>
              <w:rPr>
                <w:rFonts w:ascii="Calibri" w:eastAsia="Times New Roman" w:hAnsi="Calibri" w:cs="Calibri"/>
                <w:color w:val="000000"/>
              </w:rPr>
            </w:pPr>
          </w:p>
        </w:tc>
        <w:tc>
          <w:tcPr>
            <w:tcW w:w="780" w:type="dxa"/>
            <w:tcBorders>
              <w:top w:val="nil"/>
              <w:left w:val="nil"/>
              <w:bottom w:val="nil"/>
              <w:right w:val="nil"/>
            </w:tcBorders>
            <w:shd w:val="clear" w:color="000000" w:fill="FFFFFF"/>
            <w:noWrap/>
            <w:vAlign w:val="bottom"/>
          </w:tcPr>
          <w:p w14:paraId="69219692" w14:textId="77777777" w:rsidR="00770900" w:rsidRPr="00D06ED7" w:rsidRDefault="00770900" w:rsidP="005011E9">
            <w:pPr>
              <w:spacing w:after="0" w:line="240" w:lineRule="auto"/>
              <w:jc w:val="right"/>
              <w:rPr>
                <w:rFonts w:ascii="Calibri" w:eastAsia="Times New Roman" w:hAnsi="Calibri" w:cs="Calibri"/>
                <w:color w:val="000000"/>
              </w:rPr>
            </w:pPr>
          </w:p>
        </w:tc>
        <w:tc>
          <w:tcPr>
            <w:tcW w:w="760" w:type="dxa"/>
            <w:tcBorders>
              <w:top w:val="nil"/>
              <w:left w:val="nil"/>
              <w:bottom w:val="nil"/>
              <w:right w:val="nil"/>
            </w:tcBorders>
            <w:shd w:val="clear" w:color="000000" w:fill="FFFFFF"/>
            <w:noWrap/>
            <w:vAlign w:val="bottom"/>
          </w:tcPr>
          <w:p w14:paraId="489A5653" w14:textId="77777777" w:rsidR="00770900" w:rsidRPr="00D06ED7" w:rsidRDefault="00770900" w:rsidP="005011E9">
            <w:pPr>
              <w:spacing w:after="0" w:line="240" w:lineRule="auto"/>
              <w:jc w:val="right"/>
              <w:rPr>
                <w:rFonts w:ascii="Calibri" w:eastAsia="Times New Roman" w:hAnsi="Calibri" w:cs="Calibri"/>
                <w:color w:val="000000"/>
              </w:rPr>
            </w:pPr>
          </w:p>
        </w:tc>
      </w:tr>
      <w:tr w:rsidR="00532F06" w:rsidRPr="00D06ED7" w14:paraId="56EEEA28" w14:textId="77777777" w:rsidTr="00152E7F">
        <w:trPr>
          <w:trHeight w:val="290"/>
          <w:jc w:val="center"/>
        </w:trPr>
        <w:tc>
          <w:tcPr>
            <w:tcW w:w="1820" w:type="dxa"/>
            <w:tcBorders>
              <w:top w:val="nil"/>
              <w:left w:val="nil"/>
              <w:bottom w:val="nil"/>
              <w:right w:val="nil"/>
            </w:tcBorders>
            <w:shd w:val="clear" w:color="000000" w:fill="FFFFFF"/>
            <w:noWrap/>
            <w:vAlign w:val="bottom"/>
          </w:tcPr>
          <w:p w14:paraId="2A4D5C18" w14:textId="1FE8277D" w:rsidR="00532F06" w:rsidRPr="00D06ED7" w:rsidRDefault="00532F06" w:rsidP="00532F06">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tcPr>
          <w:p w14:paraId="74D2CE4C" w14:textId="4B0022CF"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142</w:t>
            </w:r>
          </w:p>
        </w:tc>
        <w:tc>
          <w:tcPr>
            <w:tcW w:w="960" w:type="dxa"/>
            <w:tcBorders>
              <w:top w:val="nil"/>
              <w:left w:val="nil"/>
              <w:bottom w:val="nil"/>
              <w:right w:val="nil"/>
            </w:tcBorders>
            <w:shd w:val="clear" w:color="000000" w:fill="FFFFFF"/>
            <w:noWrap/>
            <w:vAlign w:val="bottom"/>
          </w:tcPr>
          <w:p w14:paraId="56412D2F" w14:textId="55953A17"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-16.0</w:t>
            </w:r>
          </w:p>
        </w:tc>
        <w:tc>
          <w:tcPr>
            <w:tcW w:w="840" w:type="dxa"/>
            <w:tcBorders>
              <w:top w:val="nil"/>
              <w:left w:val="nil"/>
              <w:bottom w:val="nil"/>
              <w:right w:val="nil"/>
            </w:tcBorders>
            <w:shd w:val="clear" w:color="000000" w:fill="FFFFFF"/>
            <w:noWrap/>
            <w:vAlign w:val="bottom"/>
          </w:tcPr>
          <w:p w14:paraId="1D6F5824" w14:textId="01B439C7"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-8.3</w:t>
            </w:r>
          </w:p>
        </w:tc>
        <w:tc>
          <w:tcPr>
            <w:tcW w:w="901" w:type="dxa"/>
            <w:tcBorders>
              <w:top w:val="nil"/>
              <w:left w:val="nil"/>
              <w:bottom w:val="nil"/>
              <w:right w:val="nil"/>
            </w:tcBorders>
            <w:shd w:val="clear" w:color="000000" w:fill="FFFFFF"/>
            <w:noWrap/>
            <w:vAlign w:val="bottom"/>
          </w:tcPr>
          <w:p w14:paraId="53951E6A" w14:textId="33161E95"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-6.4</w:t>
            </w:r>
          </w:p>
        </w:tc>
        <w:tc>
          <w:tcPr>
            <w:tcW w:w="920" w:type="dxa"/>
            <w:tcBorders>
              <w:top w:val="nil"/>
              <w:left w:val="nil"/>
              <w:bottom w:val="nil"/>
              <w:right w:val="nil"/>
            </w:tcBorders>
            <w:shd w:val="clear" w:color="000000" w:fill="FFFFFF"/>
            <w:noWrap/>
            <w:vAlign w:val="bottom"/>
          </w:tcPr>
          <w:p w14:paraId="1ABCB156" w14:textId="7E371049"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-4.5</w:t>
            </w:r>
          </w:p>
        </w:tc>
        <w:tc>
          <w:tcPr>
            <w:tcW w:w="820" w:type="dxa"/>
            <w:tcBorders>
              <w:top w:val="nil"/>
              <w:left w:val="nil"/>
              <w:bottom w:val="nil"/>
              <w:right w:val="nil"/>
            </w:tcBorders>
            <w:shd w:val="clear" w:color="000000" w:fill="FFFFFF"/>
            <w:noWrap/>
            <w:vAlign w:val="bottom"/>
          </w:tcPr>
          <w:p w14:paraId="53EBE823" w14:textId="2F66D7E3"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1.1</w:t>
            </w:r>
          </w:p>
        </w:tc>
        <w:tc>
          <w:tcPr>
            <w:tcW w:w="780" w:type="dxa"/>
            <w:tcBorders>
              <w:top w:val="nil"/>
              <w:left w:val="nil"/>
              <w:bottom w:val="nil"/>
              <w:right w:val="nil"/>
            </w:tcBorders>
            <w:shd w:val="clear" w:color="000000" w:fill="FFFFFF"/>
            <w:noWrap/>
            <w:vAlign w:val="bottom"/>
          </w:tcPr>
          <w:p w14:paraId="1C3573E3" w14:textId="7D0B9CD3"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-6.6</w:t>
            </w:r>
          </w:p>
        </w:tc>
        <w:tc>
          <w:tcPr>
            <w:tcW w:w="760" w:type="dxa"/>
            <w:tcBorders>
              <w:top w:val="nil"/>
              <w:left w:val="nil"/>
              <w:bottom w:val="nil"/>
              <w:right w:val="nil"/>
            </w:tcBorders>
            <w:shd w:val="clear" w:color="000000" w:fill="FFFFFF"/>
            <w:noWrap/>
            <w:vAlign w:val="bottom"/>
          </w:tcPr>
          <w:p w14:paraId="49AB97E4" w14:textId="3D1AF100"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3.4</w:t>
            </w:r>
          </w:p>
        </w:tc>
      </w:tr>
      <w:tr w:rsidR="00532F06" w:rsidRPr="00D06ED7" w14:paraId="644E1850" w14:textId="77777777" w:rsidTr="00152E7F">
        <w:trPr>
          <w:trHeight w:val="290"/>
          <w:jc w:val="center"/>
        </w:trPr>
        <w:tc>
          <w:tcPr>
            <w:tcW w:w="1820" w:type="dxa"/>
            <w:tcBorders>
              <w:top w:val="nil"/>
              <w:left w:val="nil"/>
              <w:bottom w:val="nil"/>
              <w:right w:val="nil"/>
            </w:tcBorders>
            <w:shd w:val="clear" w:color="000000" w:fill="FFFFFF"/>
            <w:noWrap/>
            <w:vAlign w:val="bottom"/>
          </w:tcPr>
          <w:p w14:paraId="0F05C4B6" w14:textId="654B5983" w:rsidR="00532F06" w:rsidRPr="00D06ED7" w:rsidRDefault="00532F06" w:rsidP="00532F06">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bottom"/>
          </w:tcPr>
          <w:p w14:paraId="6B5828B8" w14:textId="02C6476E"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31</w:t>
            </w:r>
          </w:p>
        </w:tc>
        <w:tc>
          <w:tcPr>
            <w:tcW w:w="960" w:type="dxa"/>
            <w:tcBorders>
              <w:top w:val="nil"/>
              <w:left w:val="nil"/>
              <w:bottom w:val="nil"/>
              <w:right w:val="nil"/>
            </w:tcBorders>
            <w:shd w:val="clear" w:color="000000" w:fill="FFFFFF"/>
            <w:noWrap/>
            <w:vAlign w:val="bottom"/>
          </w:tcPr>
          <w:p w14:paraId="301F1A4C" w14:textId="52B64D44"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-12.4</w:t>
            </w:r>
          </w:p>
        </w:tc>
        <w:tc>
          <w:tcPr>
            <w:tcW w:w="840" w:type="dxa"/>
            <w:tcBorders>
              <w:top w:val="nil"/>
              <w:left w:val="nil"/>
              <w:bottom w:val="nil"/>
              <w:right w:val="nil"/>
            </w:tcBorders>
            <w:shd w:val="clear" w:color="000000" w:fill="FFFFFF"/>
            <w:noWrap/>
            <w:vAlign w:val="bottom"/>
          </w:tcPr>
          <w:p w14:paraId="3440AE67" w14:textId="5AEB8AA7"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-7.6</w:t>
            </w:r>
          </w:p>
        </w:tc>
        <w:tc>
          <w:tcPr>
            <w:tcW w:w="901" w:type="dxa"/>
            <w:tcBorders>
              <w:top w:val="nil"/>
              <w:left w:val="nil"/>
              <w:bottom w:val="nil"/>
              <w:right w:val="nil"/>
            </w:tcBorders>
            <w:shd w:val="clear" w:color="000000" w:fill="FFFFFF"/>
            <w:noWrap/>
            <w:vAlign w:val="bottom"/>
          </w:tcPr>
          <w:p w14:paraId="306F6243" w14:textId="565876DC"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-5.7</w:t>
            </w:r>
          </w:p>
        </w:tc>
        <w:tc>
          <w:tcPr>
            <w:tcW w:w="920" w:type="dxa"/>
            <w:tcBorders>
              <w:top w:val="nil"/>
              <w:left w:val="nil"/>
              <w:bottom w:val="nil"/>
              <w:right w:val="nil"/>
            </w:tcBorders>
            <w:shd w:val="clear" w:color="000000" w:fill="FFFFFF"/>
            <w:noWrap/>
            <w:vAlign w:val="bottom"/>
          </w:tcPr>
          <w:p w14:paraId="3C196AB3" w14:textId="703EB148"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-4.3</w:t>
            </w:r>
          </w:p>
        </w:tc>
        <w:tc>
          <w:tcPr>
            <w:tcW w:w="820" w:type="dxa"/>
            <w:tcBorders>
              <w:top w:val="nil"/>
              <w:left w:val="nil"/>
              <w:bottom w:val="nil"/>
              <w:right w:val="nil"/>
            </w:tcBorders>
            <w:shd w:val="clear" w:color="000000" w:fill="FFFFFF"/>
            <w:noWrap/>
            <w:vAlign w:val="bottom"/>
          </w:tcPr>
          <w:p w14:paraId="361F1E02" w14:textId="6F5127D4"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1.1</w:t>
            </w:r>
          </w:p>
        </w:tc>
        <w:tc>
          <w:tcPr>
            <w:tcW w:w="780" w:type="dxa"/>
            <w:tcBorders>
              <w:top w:val="nil"/>
              <w:left w:val="nil"/>
              <w:bottom w:val="nil"/>
              <w:right w:val="nil"/>
            </w:tcBorders>
            <w:shd w:val="clear" w:color="000000" w:fill="FFFFFF"/>
            <w:noWrap/>
            <w:vAlign w:val="bottom"/>
          </w:tcPr>
          <w:p w14:paraId="62CF096B" w14:textId="05C3AC94"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-5.9</w:t>
            </w:r>
          </w:p>
        </w:tc>
        <w:tc>
          <w:tcPr>
            <w:tcW w:w="760" w:type="dxa"/>
            <w:tcBorders>
              <w:top w:val="nil"/>
              <w:left w:val="nil"/>
              <w:bottom w:val="nil"/>
              <w:right w:val="nil"/>
            </w:tcBorders>
            <w:shd w:val="clear" w:color="000000" w:fill="FFFFFF"/>
            <w:noWrap/>
            <w:vAlign w:val="bottom"/>
          </w:tcPr>
          <w:p w14:paraId="3BA92DC8" w14:textId="763E7440"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2.8</w:t>
            </w:r>
          </w:p>
        </w:tc>
      </w:tr>
      <w:tr w:rsidR="00532F06" w:rsidRPr="00D06ED7" w14:paraId="0B9CCAAA" w14:textId="77777777" w:rsidTr="00152E7F">
        <w:trPr>
          <w:trHeight w:val="290"/>
          <w:jc w:val="center"/>
        </w:trPr>
        <w:tc>
          <w:tcPr>
            <w:tcW w:w="1820" w:type="dxa"/>
            <w:tcBorders>
              <w:top w:val="nil"/>
              <w:left w:val="nil"/>
              <w:bottom w:val="nil"/>
              <w:right w:val="nil"/>
            </w:tcBorders>
            <w:shd w:val="clear" w:color="000000" w:fill="FFFFFF"/>
            <w:noWrap/>
            <w:vAlign w:val="bottom"/>
          </w:tcPr>
          <w:p w14:paraId="5C0CE433" w14:textId="19178486" w:rsidR="00532F06" w:rsidRPr="00D06ED7" w:rsidRDefault="00532F06" w:rsidP="00532F06">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bottom"/>
          </w:tcPr>
          <w:p w14:paraId="759B5210" w14:textId="4AEE8860"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108</w:t>
            </w:r>
          </w:p>
        </w:tc>
        <w:tc>
          <w:tcPr>
            <w:tcW w:w="960" w:type="dxa"/>
            <w:tcBorders>
              <w:top w:val="nil"/>
              <w:left w:val="nil"/>
              <w:bottom w:val="nil"/>
              <w:right w:val="nil"/>
            </w:tcBorders>
            <w:shd w:val="clear" w:color="000000" w:fill="FFFFFF"/>
            <w:noWrap/>
            <w:vAlign w:val="bottom"/>
          </w:tcPr>
          <w:p w14:paraId="62A83256" w14:textId="64640C25"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-16.0</w:t>
            </w:r>
          </w:p>
        </w:tc>
        <w:tc>
          <w:tcPr>
            <w:tcW w:w="840" w:type="dxa"/>
            <w:tcBorders>
              <w:top w:val="nil"/>
              <w:left w:val="nil"/>
              <w:bottom w:val="nil"/>
              <w:right w:val="nil"/>
            </w:tcBorders>
            <w:shd w:val="clear" w:color="000000" w:fill="FFFFFF"/>
            <w:noWrap/>
            <w:vAlign w:val="bottom"/>
          </w:tcPr>
          <w:p w14:paraId="699FF743" w14:textId="5283726B"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-8.6</w:t>
            </w:r>
          </w:p>
        </w:tc>
        <w:tc>
          <w:tcPr>
            <w:tcW w:w="901" w:type="dxa"/>
            <w:tcBorders>
              <w:top w:val="nil"/>
              <w:left w:val="nil"/>
              <w:bottom w:val="nil"/>
              <w:right w:val="nil"/>
            </w:tcBorders>
            <w:shd w:val="clear" w:color="000000" w:fill="FFFFFF"/>
            <w:noWrap/>
            <w:vAlign w:val="bottom"/>
          </w:tcPr>
          <w:p w14:paraId="38DDC65E" w14:textId="210F2E1A"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-6.6</w:t>
            </w:r>
          </w:p>
        </w:tc>
        <w:tc>
          <w:tcPr>
            <w:tcW w:w="920" w:type="dxa"/>
            <w:tcBorders>
              <w:top w:val="nil"/>
              <w:left w:val="nil"/>
              <w:bottom w:val="nil"/>
              <w:right w:val="nil"/>
            </w:tcBorders>
            <w:shd w:val="clear" w:color="000000" w:fill="FFFFFF"/>
            <w:noWrap/>
            <w:vAlign w:val="bottom"/>
          </w:tcPr>
          <w:p w14:paraId="2F0FD5BF" w14:textId="6429B413"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-4.5</w:t>
            </w:r>
          </w:p>
        </w:tc>
        <w:tc>
          <w:tcPr>
            <w:tcW w:w="820" w:type="dxa"/>
            <w:tcBorders>
              <w:top w:val="nil"/>
              <w:left w:val="nil"/>
              <w:bottom w:val="nil"/>
              <w:right w:val="nil"/>
            </w:tcBorders>
            <w:shd w:val="clear" w:color="000000" w:fill="FFFFFF"/>
            <w:noWrap/>
            <w:vAlign w:val="bottom"/>
          </w:tcPr>
          <w:p w14:paraId="0D87D2D0" w14:textId="02552162"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0.6</w:t>
            </w:r>
          </w:p>
        </w:tc>
        <w:tc>
          <w:tcPr>
            <w:tcW w:w="780" w:type="dxa"/>
            <w:tcBorders>
              <w:top w:val="nil"/>
              <w:left w:val="nil"/>
              <w:bottom w:val="nil"/>
              <w:right w:val="nil"/>
            </w:tcBorders>
            <w:shd w:val="clear" w:color="000000" w:fill="FFFFFF"/>
            <w:noWrap/>
            <w:vAlign w:val="bottom"/>
          </w:tcPr>
          <w:p w14:paraId="2EAF218C" w14:textId="53D15AF4"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-6.8</w:t>
            </w:r>
          </w:p>
        </w:tc>
        <w:tc>
          <w:tcPr>
            <w:tcW w:w="760" w:type="dxa"/>
            <w:tcBorders>
              <w:top w:val="nil"/>
              <w:left w:val="nil"/>
              <w:bottom w:val="nil"/>
              <w:right w:val="nil"/>
            </w:tcBorders>
            <w:shd w:val="clear" w:color="000000" w:fill="FFFFFF"/>
            <w:noWrap/>
            <w:vAlign w:val="bottom"/>
          </w:tcPr>
          <w:p w14:paraId="0FA6C33E" w14:textId="588076C2" w:rsidR="00532F06" w:rsidRPr="00D06ED7" w:rsidRDefault="00532F06" w:rsidP="00532F06">
            <w:pPr>
              <w:spacing w:after="0" w:line="240" w:lineRule="auto"/>
              <w:jc w:val="right"/>
              <w:rPr>
                <w:rFonts w:ascii="Calibri" w:eastAsia="Times New Roman" w:hAnsi="Calibri" w:cs="Calibri"/>
                <w:color w:val="000000"/>
              </w:rPr>
            </w:pPr>
            <w:r>
              <w:rPr>
                <w:rFonts w:ascii="Calibri" w:hAnsi="Calibri" w:cs="Calibri"/>
                <w:color w:val="000000"/>
              </w:rPr>
              <w:t>3.6</w:t>
            </w:r>
          </w:p>
        </w:tc>
      </w:tr>
    </w:tbl>
    <w:p w14:paraId="1127B456" w14:textId="77777777" w:rsidR="00BA58FC" w:rsidRDefault="00BA58FC"/>
    <w:p w14:paraId="058F49DC" w14:textId="45D47D37" w:rsidR="00343F9B" w:rsidRDefault="00343F9B">
      <w:r>
        <w:t xml:space="preserve">Note: </w:t>
      </w:r>
      <w:r w:rsidR="003372AD">
        <w:t>High tourism countries are those with an average surplus in international travel above 5 percent of GDP during 2015-19 (see Table 1). F</w:t>
      </w:r>
      <w:r>
        <w:t xml:space="preserve">or a few countries balance of payments data on international travel is not available: hence </w:t>
      </w:r>
      <w:r w:rsidR="0028193C">
        <w:t xml:space="preserve">the observations in “high tourism” and “other countries” are fewer than </w:t>
      </w:r>
      <w:r w:rsidR="003372AD">
        <w:t>those for all countries.</w:t>
      </w:r>
    </w:p>
    <w:p w14:paraId="78074BAF" w14:textId="63E5E501" w:rsidR="004052DB" w:rsidRDefault="00BA58FC">
      <w:r>
        <w:t>Source: Author’s calculation based on IMF (2020), (2021) and national sources.</w:t>
      </w:r>
      <w:r w:rsidR="004052DB">
        <w:br w:type="page"/>
      </w:r>
    </w:p>
    <w:p w14:paraId="53668149" w14:textId="77777777" w:rsidR="00B956B1" w:rsidRDefault="00B956B1"/>
    <w:p w14:paraId="479FCC4C" w14:textId="77777777" w:rsidR="00574316" w:rsidRDefault="00574316" w:rsidP="00D06ED7">
      <w:pPr>
        <w:jc w:val="center"/>
      </w:pPr>
    </w:p>
    <w:p w14:paraId="389F0A2F" w14:textId="77777777" w:rsidR="00A332BE" w:rsidRDefault="00A332BE"/>
    <w:p w14:paraId="1FB178B0" w14:textId="77777777" w:rsidR="00A332BE" w:rsidRDefault="00A332BE"/>
    <w:p w14:paraId="27E7FD10" w14:textId="18C291F6" w:rsidR="00C85F8D" w:rsidRDefault="00C85F8D" w:rsidP="00F17DC1">
      <w:pPr>
        <w:jc w:val="center"/>
      </w:pPr>
      <w:r>
        <w:t xml:space="preserve">Table </w:t>
      </w:r>
      <w:r w:rsidR="004052DB">
        <w:t>7</w:t>
      </w:r>
      <w:r>
        <w:t>. Growth regressions (I)</w:t>
      </w:r>
    </w:p>
    <w:p w14:paraId="09E40F68" w14:textId="77777777" w:rsidR="00C85F8D" w:rsidRDefault="00C85F8D" w:rsidP="00C85F8D"/>
    <w:tbl>
      <w:tblPr>
        <w:tblW w:w="8640" w:type="dxa"/>
        <w:tblLook w:val="04A0" w:firstRow="1" w:lastRow="0" w:firstColumn="1" w:lastColumn="0" w:noHBand="0" w:noVBand="1"/>
      </w:tblPr>
      <w:tblGrid>
        <w:gridCol w:w="4177"/>
        <w:gridCol w:w="1118"/>
        <w:gridCol w:w="1115"/>
        <w:gridCol w:w="1115"/>
        <w:gridCol w:w="1115"/>
      </w:tblGrid>
      <w:tr w:rsidR="00C85F8D" w:rsidRPr="00F1696E" w14:paraId="1EDB2665" w14:textId="77777777" w:rsidTr="00C85F8D">
        <w:trPr>
          <w:trHeight w:val="290"/>
        </w:trPr>
        <w:tc>
          <w:tcPr>
            <w:tcW w:w="4177" w:type="dxa"/>
            <w:tcBorders>
              <w:top w:val="nil"/>
              <w:left w:val="nil"/>
              <w:bottom w:val="nil"/>
              <w:right w:val="nil"/>
            </w:tcBorders>
            <w:shd w:val="clear" w:color="000000" w:fill="FFFFFF"/>
            <w:noWrap/>
            <w:vAlign w:val="bottom"/>
            <w:hideMark/>
          </w:tcPr>
          <w:p w14:paraId="0D2FABE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8E35DD7"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(1)</w:t>
            </w:r>
          </w:p>
        </w:tc>
        <w:tc>
          <w:tcPr>
            <w:tcW w:w="1115" w:type="dxa"/>
            <w:tcBorders>
              <w:top w:val="nil"/>
              <w:left w:val="nil"/>
              <w:bottom w:val="nil"/>
              <w:right w:val="nil"/>
            </w:tcBorders>
            <w:shd w:val="clear" w:color="000000" w:fill="FFFFFF"/>
            <w:noWrap/>
            <w:vAlign w:val="bottom"/>
            <w:hideMark/>
          </w:tcPr>
          <w:p w14:paraId="4593EA88"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(2)</w:t>
            </w:r>
          </w:p>
        </w:tc>
        <w:tc>
          <w:tcPr>
            <w:tcW w:w="1115" w:type="dxa"/>
            <w:tcBorders>
              <w:top w:val="nil"/>
              <w:left w:val="nil"/>
              <w:bottom w:val="nil"/>
              <w:right w:val="nil"/>
            </w:tcBorders>
            <w:shd w:val="clear" w:color="000000" w:fill="FFFFFF"/>
            <w:noWrap/>
            <w:vAlign w:val="bottom"/>
            <w:hideMark/>
          </w:tcPr>
          <w:p w14:paraId="56992CC3"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(3)</w:t>
            </w:r>
          </w:p>
        </w:tc>
        <w:tc>
          <w:tcPr>
            <w:tcW w:w="1115" w:type="dxa"/>
            <w:tcBorders>
              <w:top w:val="nil"/>
              <w:left w:val="nil"/>
              <w:bottom w:val="nil"/>
              <w:right w:val="nil"/>
            </w:tcBorders>
            <w:shd w:val="clear" w:color="000000" w:fill="FFFFFF"/>
            <w:noWrap/>
            <w:vAlign w:val="bottom"/>
            <w:hideMark/>
          </w:tcPr>
          <w:p w14:paraId="4D570802"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(4)</w:t>
            </w:r>
          </w:p>
        </w:tc>
      </w:tr>
      <w:tr w:rsidR="00C85F8D" w:rsidRPr="00F1696E" w14:paraId="08B8A92E" w14:textId="77777777" w:rsidTr="00C85F8D">
        <w:trPr>
          <w:trHeight w:val="290"/>
        </w:trPr>
        <w:tc>
          <w:tcPr>
            <w:tcW w:w="4177" w:type="dxa"/>
            <w:tcBorders>
              <w:top w:val="nil"/>
              <w:left w:val="nil"/>
              <w:bottom w:val="nil"/>
              <w:right w:val="nil"/>
            </w:tcBorders>
            <w:shd w:val="clear" w:color="000000" w:fill="FFFFFF"/>
            <w:noWrap/>
            <w:vAlign w:val="bottom"/>
            <w:hideMark/>
          </w:tcPr>
          <w:p w14:paraId="585CB93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83A92F3"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7A246CE9"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62731191"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7375C94E"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r>
      <w:tr w:rsidR="00C85F8D" w:rsidRPr="00F1696E" w14:paraId="1E7B8F0D" w14:textId="77777777" w:rsidTr="00C85F8D">
        <w:trPr>
          <w:trHeight w:val="290"/>
        </w:trPr>
        <w:tc>
          <w:tcPr>
            <w:tcW w:w="4177" w:type="dxa"/>
            <w:tcBorders>
              <w:top w:val="nil"/>
              <w:left w:val="nil"/>
              <w:bottom w:val="nil"/>
              <w:right w:val="nil"/>
            </w:tcBorders>
            <w:shd w:val="clear" w:color="000000" w:fill="FFFFFF"/>
            <w:noWrap/>
            <w:vAlign w:val="bottom"/>
            <w:hideMark/>
          </w:tcPr>
          <w:p w14:paraId="2F3EF64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D7B780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4B7B99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758DAE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6D1ECF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4A932BFD" w14:textId="77777777" w:rsidTr="00C85F8D">
        <w:trPr>
          <w:trHeight w:val="290"/>
        </w:trPr>
        <w:tc>
          <w:tcPr>
            <w:tcW w:w="4177" w:type="dxa"/>
            <w:tcBorders>
              <w:top w:val="nil"/>
              <w:left w:val="nil"/>
              <w:bottom w:val="nil"/>
              <w:right w:val="nil"/>
            </w:tcBorders>
            <w:shd w:val="clear" w:color="000000" w:fill="FFFFFF"/>
            <w:noWrap/>
            <w:vAlign w:val="bottom"/>
            <w:hideMark/>
          </w:tcPr>
          <w:p w14:paraId="052BB3B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COVID cases in 2020 (per 1000 popul.)</w:t>
            </w:r>
          </w:p>
        </w:tc>
        <w:tc>
          <w:tcPr>
            <w:tcW w:w="1118" w:type="dxa"/>
            <w:tcBorders>
              <w:top w:val="nil"/>
              <w:left w:val="nil"/>
              <w:bottom w:val="nil"/>
              <w:right w:val="nil"/>
            </w:tcBorders>
            <w:shd w:val="clear" w:color="000000" w:fill="FFFFFF"/>
            <w:noWrap/>
            <w:vAlign w:val="bottom"/>
            <w:hideMark/>
          </w:tcPr>
          <w:p w14:paraId="789A9D6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-0.0236</w:t>
            </w:r>
          </w:p>
        </w:tc>
        <w:tc>
          <w:tcPr>
            <w:tcW w:w="1115" w:type="dxa"/>
            <w:tcBorders>
              <w:top w:val="nil"/>
              <w:left w:val="nil"/>
              <w:bottom w:val="nil"/>
              <w:right w:val="nil"/>
            </w:tcBorders>
            <w:shd w:val="clear" w:color="000000" w:fill="FFFFFF"/>
            <w:noWrap/>
            <w:vAlign w:val="bottom"/>
            <w:hideMark/>
          </w:tcPr>
          <w:p w14:paraId="5E95EA3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0.0120</w:t>
            </w:r>
          </w:p>
        </w:tc>
        <w:tc>
          <w:tcPr>
            <w:tcW w:w="1115" w:type="dxa"/>
            <w:tcBorders>
              <w:top w:val="nil"/>
              <w:left w:val="nil"/>
              <w:bottom w:val="nil"/>
              <w:right w:val="nil"/>
            </w:tcBorders>
            <w:shd w:val="clear" w:color="000000" w:fill="FFFFFF"/>
            <w:noWrap/>
            <w:vAlign w:val="bottom"/>
            <w:hideMark/>
          </w:tcPr>
          <w:p w14:paraId="3846F97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0.0203</w:t>
            </w:r>
          </w:p>
        </w:tc>
        <w:tc>
          <w:tcPr>
            <w:tcW w:w="1115" w:type="dxa"/>
            <w:tcBorders>
              <w:top w:val="nil"/>
              <w:left w:val="nil"/>
              <w:bottom w:val="nil"/>
              <w:right w:val="nil"/>
            </w:tcBorders>
            <w:shd w:val="clear" w:color="000000" w:fill="FFFFFF"/>
            <w:noWrap/>
            <w:vAlign w:val="bottom"/>
            <w:hideMark/>
          </w:tcPr>
          <w:p w14:paraId="15DC96D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0.0219</w:t>
            </w:r>
          </w:p>
        </w:tc>
      </w:tr>
      <w:tr w:rsidR="00C85F8D" w:rsidRPr="00F1696E" w14:paraId="1BC968D6" w14:textId="77777777" w:rsidTr="00C85F8D">
        <w:trPr>
          <w:trHeight w:val="290"/>
        </w:trPr>
        <w:tc>
          <w:tcPr>
            <w:tcW w:w="4177" w:type="dxa"/>
            <w:tcBorders>
              <w:top w:val="nil"/>
              <w:left w:val="nil"/>
              <w:bottom w:val="nil"/>
              <w:right w:val="nil"/>
            </w:tcBorders>
            <w:shd w:val="clear" w:color="000000" w:fill="FFFFFF"/>
            <w:noWrap/>
            <w:vAlign w:val="bottom"/>
            <w:hideMark/>
          </w:tcPr>
          <w:p w14:paraId="0B0B751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519871B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(-0.60)</w:t>
            </w:r>
          </w:p>
        </w:tc>
        <w:tc>
          <w:tcPr>
            <w:tcW w:w="1115" w:type="dxa"/>
            <w:tcBorders>
              <w:top w:val="nil"/>
              <w:left w:val="nil"/>
              <w:bottom w:val="nil"/>
              <w:right w:val="nil"/>
            </w:tcBorders>
            <w:shd w:val="clear" w:color="000000" w:fill="FFFFFF"/>
            <w:noWrap/>
            <w:vAlign w:val="bottom"/>
            <w:hideMark/>
          </w:tcPr>
          <w:p w14:paraId="60502CD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(0.58)</w:t>
            </w:r>
          </w:p>
        </w:tc>
        <w:tc>
          <w:tcPr>
            <w:tcW w:w="1115" w:type="dxa"/>
            <w:tcBorders>
              <w:top w:val="nil"/>
              <w:left w:val="nil"/>
              <w:bottom w:val="nil"/>
              <w:right w:val="nil"/>
            </w:tcBorders>
            <w:shd w:val="clear" w:color="000000" w:fill="FFFFFF"/>
            <w:noWrap/>
            <w:vAlign w:val="bottom"/>
            <w:hideMark/>
          </w:tcPr>
          <w:p w14:paraId="7ED4EB0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(0.81)</w:t>
            </w:r>
          </w:p>
        </w:tc>
        <w:tc>
          <w:tcPr>
            <w:tcW w:w="1115" w:type="dxa"/>
            <w:tcBorders>
              <w:top w:val="nil"/>
              <w:left w:val="nil"/>
              <w:bottom w:val="nil"/>
              <w:right w:val="nil"/>
            </w:tcBorders>
            <w:shd w:val="clear" w:color="000000" w:fill="FFFFFF"/>
            <w:noWrap/>
            <w:vAlign w:val="bottom"/>
            <w:hideMark/>
          </w:tcPr>
          <w:p w14:paraId="49494AD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(0.82)</w:t>
            </w:r>
          </w:p>
        </w:tc>
      </w:tr>
      <w:tr w:rsidR="00C85F8D" w:rsidRPr="00F1696E" w14:paraId="43D46BD5" w14:textId="77777777" w:rsidTr="00C85F8D">
        <w:trPr>
          <w:trHeight w:val="290"/>
        </w:trPr>
        <w:tc>
          <w:tcPr>
            <w:tcW w:w="4177" w:type="dxa"/>
            <w:tcBorders>
              <w:top w:val="nil"/>
              <w:left w:val="nil"/>
              <w:bottom w:val="nil"/>
              <w:right w:val="nil"/>
            </w:tcBorders>
            <w:shd w:val="clear" w:color="000000" w:fill="FFFFFF"/>
            <w:noWrap/>
            <w:vAlign w:val="bottom"/>
            <w:hideMark/>
          </w:tcPr>
          <w:p w14:paraId="18C792D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3B59055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12DCBA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4EA3CE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192F3A18"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20D3773E" w14:textId="77777777" w:rsidTr="00C85F8D">
        <w:trPr>
          <w:trHeight w:val="290"/>
        </w:trPr>
        <w:tc>
          <w:tcPr>
            <w:tcW w:w="4177" w:type="dxa"/>
            <w:tcBorders>
              <w:top w:val="nil"/>
              <w:left w:val="nil"/>
              <w:bottom w:val="nil"/>
              <w:right w:val="nil"/>
            </w:tcBorders>
            <w:shd w:val="clear" w:color="000000" w:fill="FFFFFF"/>
            <w:noWrap/>
            <w:vAlign w:val="bottom"/>
            <w:hideMark/>
          </w:tcPr>
          <w:p w14:paraId="47399E4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COVID deaths in 2020 (per 1000 popul.)</w:t>
            </w:r>
          </w:p>
        </w:tc>
        <w:tc>
          <w:tcPr>
            <w:tcW w:w="1118" w:type="dxa"/>
            <w:tcBorders>
              <w:top w:val="nil"/>
              <w:left w:val="nil"/>
              <w:bottom w:val="nil"/>
              <w:right w:val="nil"/>
            </w:tcBorders>
            <w:shd w:val="clear" w:color="000000" w:fill="FFFFFF"/>
            <w:noWrap/>
            <w:vAlign w:val="bottom"/>
            <w:hideMark/>
          </w:tcPr>
          <w:p w14:paraId="087AB43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-0.602</w:t>
            </w:r>
          </w:p>
        </w:tc>
        <w:tc>
          <w:tcPr>
            <w:tcW w:w="1115" w:type="dxa"/>
            <w:tcBorders>
              <w:top w:val="nil"/>
              <w:left w:val="nil"/>
              <w:bottom w:val="nil"/>
              <w:right w:val="nil"/>
            </w:tcBorders>
            <w:shd w:val="clear" w:color="000000" w:fill="FFFFFF"/>
            <w:noWrap/>
            <w:vAlign w:val="bottom"/>
            <w:hideMark/>
          </w:tcPr>
          <w:p w14:paraId="6661277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-2.133**</w:t>
            </w:r>
          </w:p>
        </w:tc>
        <w:tc>
          <w:tcPr>
            <w:tcW w:w="1115" w:type="dxa"/>
            <w:tcBorders>
              <w:top w:val="nil"/>
              <w:left w:val="nil"/>
              <w:bottom w:val="nil"/>
              <w:right w:val="nil"/>
            </w:tcBorders>
            <w:shd w:val="clear" w:color="000000" w:fill="FFFFFF"/>
            <w:noWrap/>
            <w:vAlign w:val="bottom"/>
            <w:hideMark/>
          </w:tcPr>
          <w:p w14:paraId="383470A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-2.700***</w:t>
            </w:r>
          </w:p>
        </w:tc>
        <w:tc>
          <w:tcPr>
            <w:tcW w:w="1115" w:type="dxa"/>
            <w:tcBorders>
              <w:top w:val="nil"/>
              <w:left w:val="nil"/>
              <w:bottom w:val="nil"/>
              <w:right w:val="nil"/>
            </w:tcBorders>
            <w:shd w:val="clear" w:color="000000" w:fill="FFFFFF"/>
            <w:noWrap/>
            <w:vAlign w:val="bottom"/>
            <w:hideMark/>
          </w:tcPr>
          <w:p w14:paraId="4ED3724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-2.645***</w:t>
            </w:r>
          </w:p>
        </w:tc>
      </w:tr>
      <w:tr w:rsidR="00C85F8D" w:rsidRPr="00F1696E" w14:paraId="5198AF95" w14:textId="77777777" w:rsidTr="00C85F8D">
        <w:trPr>
          <w:trHeight w:val="290"/>
        </w:trPr>
        <w:tc>
          <w:tcPr>
            <w:tcW w:w="4177" w:type="dxa"/>
            <w:tcBorders>
              <w:top w:val="nil"/>
              <w:left w:val="nil"/>
              <w:bottom w:val="nil"/>
              <w:right w:val="nil"/>
            </w:tcBorders>
            <w:shd w:val="clear" w:color="000000" w:fill="FFFFFF"/>
            <w:noWrap/>
            <w:vAlign w:val="bottom"/>
            <w:hideMark/>
          </w:tcPr>
          <w:p w14:paraId="6B92458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6581911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(-0.42)</w:t>
            </w:r>
          </w:p>
        </w:tc>
        <w:tc>
          <w:tcPr>
            <w:tcW w:w="1115" w:type="dxa"/>
            <w:tcBorders>
              <w:top w:val="nil"/>
              <w:left w:val="nil"/>
              <w:bottom w:val="nil"/>
              <w:right w:val="nil"/>
            </w:tcBorders>
            <w:shd w:val="clear" w:color="000000" w:fill="FFFFFF"/>
            <w:noWrap/>
            <w:vAlign w:val="bottom"/>
            <w:hideMark/>
          </w:tcPr>
          <w:p w14:paraId="36A761B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(-2.41)</w:t>
            </w:r>
          </w:p>
        </w:tc>
        <w:tc>
          <w:tcPr>
            <w:tcW w:w="1115" w:type="dxa"/>
            <w:tcBorders>
              <w:top w:val="nil"/>
              <w:left w:val="nil"/>
              <w:bottom w:val="nil"/>
              <w:right w:val="nil"/>
            </w:tcBorders>
            <w:shd w:val="clear" w:color="000000" w:fill="FFFFFF"/>
            <w:noWrap/>
            <w:vAlign w:val="bottom"/>
            <w:hideMark/>
          </w:tcPr>
          <w:p w14:paraId="4E5B8A5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(-2.97)</w:t>
            </w:r>
          </w:p>
        </w:tc>
        <w:tc>
          <w:tcPr>
            <w:tcW w:w="1115" w:type="dxa"/>
            <w:tcBorders>
              <w:top w:val="nil"/>
              <w:left w:val="nil"/>
              <w:bottom w:val="nil"/>
              <w:right w:val="nil"/>
            </w:tcBorders>
            <w:shd w:val="clear" w:color="000000" w:fill="FFFFFF"/>
            <w:noWrap/>
            <w:vAlign w:val="bottom"/>
            <w:hideMark/>
          </w:tcPr>
          <w:p w14:paraId="28D6C03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(-2.63)</w:t>
            </w:r>
          </w:p>
        </w:tc>
      </w:tr>
      <w:tr w:rsidR="00C85F8D" w:rsidRPr="00F1696E" w14:paraId="1CADA8D0" w14:textId="77777777" w:rsidTr="00C85F8D">
        <w:trPr>
          <w:trHeight w:val="290"/>
        </w:trPr>
        <w:tc>
          <w:tcPr>
            <w:tcW w:w="4177" w:type="dxa"/>
            <w:tcBorders>
              <w:top w:val="nil"/>
              <w:left w:val="nil"/>
              <w:bottom w:val="nil"/>
              <w:right w:val="nil"/>
            </w:tcBorders>
            <w:shd w:val="clear" w:color="000000" w:fill="FFFFFF"/>
            <w:noWrap/>
            <w:vAlign w:val="bottom"/>
            <w:hideMark/>
          </w:tcPr>
          <w:p w14:paraId="6994CA68"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0C25EB7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5C745D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8CE39F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A93A1A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31BB253F" w14:textId="77777777" w:rsidTr="00C85F8D">
        <w:trPr>
          <w:trHeight w:val="290"/>
        </w:trPr>
        <w:tc>
          <w:tcPr>
            <w:tcW w:w="4177" w:type="dxa"/>
            <w:tcBorders>
              <w:top w:val="nil"/>
              <w:left w:val="nil"/>
              <w:bottom w:val="nil"/>
              <w:right w:val="nil"/>
            </w:tcBorders>
            <w:shd w:val="clear" w:color="000000" w:fill="FFFFFF"/>
            <w:noWrap/>
            <w:vAlign w:val="bottom"/>
            <w:hideMark/>
          </w:tcPr>
          <w:p w14:paraId="4D31F3E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Oxford stringency index (average 2020)</w:t>
            </w:r>
          </w:p>
        </w:tc>
        <w:tc>
          <w:tcPr>
            <w:tcW w:w="1118" w:type="dxa"/>
            <w:tcBorders>
              <w:top w:val="nil"/>
              <w:left w:val="nil"/>
              <w:bottom w:val="nil"/>
              <w:right w:val="nil"/>
            </w:tcBorders>
            <w:shd w:val="clear" w:color="000000" w:fill="FFFFFF"/>
            <w:noWrap/>
            <w:vAlign w:val="bottom"/>
            <w:hideMark/>
          </w:tcPr>
          <w:p w14:paraId="1067A61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-0.0736**</w:t>
            </w:r>
          </w:p>
        </w:tc>
        <w:tc>
          <w:tcPr>
            <w:tcW w:w="1115" w:type="dxa"/>
            <w:tcBorders>
              <w:top w:val="nil"/>
              <w:left w:val="nil"/>
              <w:bottom w:val="nil"/>
              <w:right w:val="nil"/>
            </w:tcBorders>
            <w:shd w:val="clear" w:color="000000" w:fill="FFFFFF"/>
            <w:noWrap/>
            <w:vAlign w:val="bottom"/>
            <w:hideMark/>
          </w:tcPr>
          <w:p w14:paraId="735A7AE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-0.102***</w:t>
            </w:r>
          </w:p>
        </w:tc>
        <w:tc>
          <w:tcPr>
            <w:tcW w:w="1115" w:type="dxa"/>
            <w:tcBorders>
              <w:top w:val="nil"/>
              <w:left w:val="nil"/>
              <w:bottom w:val="nil"/>
              <w:right w:val="nil"/>
            </w:tcBorders>
            <w:shd w:val="clear" w:color="000000" w:fill="FFFFFF"/>
            <w:noWrap/>
            <w:vAlign w:val="bottom"/>
            <w:hideMark/>
          </w:tcPr>
          <w:p w14:paraId="712A71A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-0.121***</w:t>
            </w:r>
          </w:p>
        </w:tc>
        <w:tc>
          <w:tcPr>
            <w:tcW w:w="1115" w:type="dxa"/>
            <w:tcBorders>
              <w:top w:val="nil"/>
              <w:left w:val="nil"/>
              <w:bottom w:val="nil"/>
              <w:right w:val="nil"/>
            </w:tcBorders>
            <w:shd w:val="clear" w:color="000000" w:fill="FFFFFF"/>
            <w:noWrap/>
            <w:vAlign w:val="bottom"/>
            <w:hideMark/>
          </w:tcPr>
          <w:p w14:paraId="0457A75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-0.109***</w:t>
            </w:r>
          </w:p>
        </w:tc>
      </w:tr>
      <w:tr w:rsidR="00C85F8D" w:rsidRPr="00F1696E" w14:paraId="419908B9" w14:textId="77777777" w:rsidTr="00C85F8D">
        <w:trPr>
          <w:trHeight w:val="290"/>
        </w:trPr>
        <w:tc>
          <w:tcPr>
            <w:tcW w:w="4177" w:type="dxa"/>
            <w:tcBorders>
              <w:top w:val="nil"/>
              <w:left w:val="nil"/>
              <w:bottom w:val="nil"/>
              <w:right w:val="nil"/>
            </w:tcBorders>
            <w:shd w:val="clear" w:color="000000" w:fill="FFFFFF"/>
            <w:noWrap/>
            <w:vAlign w:val="bottom"/>
            <w:hideMark/>
          </w:tcPr>
          <w:p w14:paraId="7390B2A8"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122CFE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(-2.37)</w:t>
            </w:r>
          </w:p>
        </w:tc>
        <w:tc>
          <w:tcPr>
            <w:tcW w:w="1115" w:type="dxa"/>
            <w:tcBorders>
              <w:top w:val="nil"/>
              <w:left w:val="nil"/>
              <w:bottom w:val="nil"/>
              <w:right w:val="nil"/>
            </w:tcBorders>
            <w:shd w:val="clear" w:color="000000" w:fill="FFFFFF"/>
            <w:noWrap/>
            <w:vAlign w:val="bottom"/>
            <w:hideMark/>
          </w:tcPr>
          <w:p w14:paraId="7F8E373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(-4.27)</w:t>
            </w:r>
          </w:p>
        </w:tc>
        <w:tc>
          <w:tcPr>
            <w:tcW w:w="1115" w:type="dxa"/>
            <w:tcBorders>
              <w:top w:val="nil"/>
              <w:left w:val="nil"/>
              <w:bottom w:val="nil"/>
              <w:right w:val="nil"/>
            </w:tcBorders>
            <w:shd w:val="clear" w:color="000000" w:fill="FFFFFF"/>
            <w:noWrap/>
            <w:vAlign w:val="bottom"/>
            <w:hideMark/>
          </w:tcPr>
          <w:p w14:paraId="0DE92D9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(-4.70)</w:t>
            </w:r>
          </w:p>
        </w:tc>
        <w:tc>
          <w:tcPr>
            <w:tcW w:w="1115" w:type="dxa"/>
            <w:tcBorders>
              <w:top w:val="nil"/>
              <w:left w:val="nil"/>
              <w:bottom w:val="nil"/>
              <w:right w:val="nil"/>
            </w:tcBorders>
            <w:shd w:val="clear" w:color="000000" w:fill="FFFFFF"/>
            <w:noWrap/>
            <w:vAlign w:val="bottom"/>
            <w:hideMark/>
          </w:tcPr>
          <w:p w14:paraId="458605C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(-4.14)</w:t>
            </w:r>
          </w:p>
        </w:tc>
      </w:tr>
      <w:tr w:rsidR="00C85F8D" w:rsidRPr="00F1696E" w14:paraId="36588A15" w14:textId="77777777" w:rsidTr="00C85F8D">
        <w:trPr>
          <w:trHeight w:val="290"/>
        </w:trPr>
        <w:tc>
          <w:tcPr>
            <w:tcW w:w="4177" w:type="dxa"/>
            <w:tcBorders>
              <w:top w:val="nil"/>
              <w:left w:val="nil"/>
              <w:bottom w:val="nil"/>
              <w:right w:val="nil"/>
            </w:tcBorders>
            <w:shd w:val="clear" w:color="000000" w:fill="FFFFFF"/>
            <w:noWrap/>
            <w:vAlign w:val="bottom"/>
            <w:hideMark/>
          </w:tcPr>
          <w:p w14:paraId="26F0821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3BB80D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B4BE70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9EA75F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2BC8C2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44CDAEA1" w14:textId="77777777" w:rsidTr="00C85F8D">
        <w:trPr>
          <w:trHeight w:val="290"/>
        </w:trPr>
        <w:tc>
          <w:tcPr>
            <w:tcW w:w="4177" w:type="dxa"/>
            <w:tcBorders>
              <w:top w:val="nil"/>
              <w:left w:val="nil"/>
              <w:bottom w:val="nil"/>
              <w:right w:val="nil"/>
            </w:tcBorders>
            <w:shd w:val="clear" w:color="000000" w:fill="FFFFFF"/>
            <w:noWrap/>
            <w:vAlign w:val="bottom"/>
            <w:hideMark/>
          </w:tcPr>
          <w:p w14:paraId="7DB6150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Tourism activity (total share of GDP)</w:t>
            </w:r>
          </w:p>
        </w:tc>
        <w:tc>
          <w:tcPr>
            <w:tcW w:w="1118" w:type="dxa"/>
            <w:tcBorders>
              <w:top w:val="nil"/>
              <w:left w:val="nil"/>
              <w:bottom w:val="nil"/>
              <w:right w:val="nil"/>
            </w:tcBorders>
            <w:shd w:val="clear" w:color="000000" w:fill="FFFFFF"/>
            <w:noWrap/>
            <w:vAlign w:val="bottom"/>
            <w:hideMark/>
          </w:tcPr>
          <w:p w14:paraId="4D519FB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F69C23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-0.270***</w:t>
            </w:r>
          </w:p>
        </w:tc>
        <w:tc>
          <w:tcPr>
            <w:tcW w:w="1115" w:type="dxa"/>
            <w:tcBorders>
              <w:top w:val="nil"/>
              <w:left w:val="nil"/>
              <w:bottom w:val="nil"/>
              <w:right w:val="nil"/>
            </w:tcBorders>
            <w:shd w:val="clear" w:color="000000" w:fill="FFFFFF"/>
            <w:noWrap/>
            <w:vAlign w:val="bottom"/>
            <w:hideMark/>
          </w:tcPr>
          <w:p w14:paraId="274DA14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-0.239***</w:t>
            </w:r>
          </w:p>
        </w:tc>
        <w:tc>
          <w:tcPr>
            <w:tcW w:w="1115" w:type="dxa"/>
            <w:tcBorders>
              <w:top w:val="nil"/>
              <w:left w:val="nil"/>
              <w:bottom w:val="nil"/>
              <w:right w:val="nil"/>
            </w:tcBorders>
            <w:shd w:val="clear" w:color="000000" w:fill="FFFFFF"/>
            <w:noWrap/>
            <w:vAlign w:val="bottom"/>
            <w:hideMark/>
          </w:tcPr>
          <w:p w14:paraId="6831426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-0.217***</w:t>
            </w:r>
          </w:p>
        </w:tc>
      </w:tr>
      <w:tr w:rsidR="00C85F8D" w:rsidRPr="00F1696E" w14:paraId="2AF5D708" w14:textId="77777777" w:rsidTr="00C85F8D">
        <w:trPr>
          <w:trHeight w:val="290"/>
        </w:trPr>
        <w:tc>
          <w:tcPr>
            <w:tcW w:w="4177" w:type="dxa"/>
            <w:tcBorders>
              <w:top w:val="nil"/>
              <w:left w:val="nil"/>
              <w:bottom w:val="nil"/>
              <w:right w:val="nil"/>
            </w:tcBorders>
            <w:shd w:val="clear" w:color="000000" w:fill="FFFFFF"/>
            <w:noWrap/>
            <w:vAlign w:val="bottom"/>
            <w:hideMark/>
          </w:tcPr>
          <w:p w14:paraId="21B1335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60AD30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84E0E7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(-12.88)</w:t>
            </w:r>
          </w:p>
        </w:tc>
        <w:tc>
          <w:tcPr>
            <w:tcW w:w="1115" w:type="dxa"/>
            <w:tcBorders>
              <w:top w:val="nil"/>
              <w:left w:val="nil"/>
              <w:bottom w:val="nil"/>
              <w:right w:val="nil"/>
            </w:tcBorders>
            <w:shd w:val="clear" w:color="000000" w:fill="FFFFFF"/>
            <w:noWrap/>
            <w:vAlign w:val="bottom"/>
            <w:hideMark/>
          </w:tcPr>
          <w:p w14:paraId="358D555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(-8.97)</w:t>
            </w:r>
          </w:p>
        </w:tc>
        <w:tc>
          <w:tcPr>
            <w:tcW w:w="1115" w:type="dxa"/>
            <w:tcBorders>
              <w:top w:val="nil"/>
              <w:left w:val="nil"/>
              <w:bottom w:val="nil"/>
              <w:right w:val="nil"/>
            </w:tcBorders>
            <w:shd w:val="clear" w:color="000000" w:fill="FFFFFF"/>
            <w:noWrap/>
            <w:vAlign w:val="bottom"/>
            <w:hideMark/>
          </w:tcPr>
          <w:p w14:paraId="0A10360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(-5.97)</w:t>
            </w:r>
          </w:p>
        </w:tc>
      </w:tr>
      <w:tr w:rsidR="00C85F8D" w:rsidRPr="00F1696E" w14:paraId="06AE8043" w14:textId="77777777" w:rsidTr="00C85F8D">
        <w:trPr>
          <w:trHeight w:val="290"/>
        </w:trPr>
        <w:tc>
          <w:tcPr>
            <w:tcW w:w="4177" w:type="dxa"/>
            <w:tcBorders>
              <w:top w:val="nil"/>
              <w:left w:val="nil"/>
              <w:bottom w:val="nil"/>
              <w:right w:val="nil"/>
            </w:tcBorders>
            <w:shd w:val="clear" w:color="000000" w:fill="FFFFFF"/>
            <w:noWrap/>
            <w:vAlign w:val="bottom"/>
            <w:hideMark/>
          </w:tcPr>
          <w:p w14:paraId="344706A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3D6153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6F8F12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748C0B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D15C18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47DCF915" w14:textId="77777777" w:rsidTr="00C85F8D">
        <w:trPr>
          <w:trHeight w:val="290"/>
        </w:trPr>
        <w:tc>
          <w:tcPr>
            <w:tcW w:w="4177" w:type="dxa"/>
            <w:tcBorders>
              <w:top w:val="nil"/>
              <w:left w:val="nil"/>
              <w:bottom w:val="nil"/>
              <w:right w:val="nil"/>
            </w:tcBorders>
            <w:shd w:val="clear" w:color="000000" w:fill="FFFFFF"/>
            <w:noWrap/>
            <w:vAlign w:val="bottom"/>
            <w:hideMark/>
          </w:tcPr>
          <w:p w14:paraId="6F7B357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log GDP per capita</w:t>
            </w:r>
          </w:p>
        </w:tc>
        <w:tc>
          <w:tcPr>
            <w:tcW w:w="1118" w:type="dxa"/>
            <w:tcBorders>
              <w:top w:val="nil"/>
              <w:left w:val="nil"/>
              <w:bottom w:val="nil"/>
              <w:right w:val="nil"/>
            </w:tcBorders>
            <w:shd w:val="clear" w:color="000000" w:fill="FFFFFF"/>
            <w:noWrap/>
            <w:vAlign w:val="bottom"/>
            <w:hideMark/>
          </w:tcPr>
          <w:p w14:paraId="64C03AF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DA2792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1D0FD20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0.146</w:t>
            </w:r>
          </w:p>
        </w:tc>
        <w:tc>
          <w:tcPr>
            <w:tcW w:w="1115" w:type="dxa"/>
            <w:tcBorders>
              <w:top w:val="nil"/>
              <w:left w:val="nil"/>
              <w:bottom w:val="nil"/>
              <w:right w:val="nil"/>
            </w:tcBorders>
            <w:shd w:val="clear" w:color="000000" w:fill="FFFFFF"/>
            <w:noWrap/>
            <w:vAlign w:val="bottom"/>
            <w:hideMark/>
          </w:tcPr>
          <w:p w14:paraId="02F9E54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0.548</w:t>
            </w:r>
          </w:p>
        </w:tc>
      </w:tr>
      <w:tr w:rsidR="00C85F8D" w:rsidRPr="00F1696E" w14:paraId="60734288" w14:textId="77777777" w:rsidTr="00C85F8D">
        <w:trPr>
          <w:trHeight w:val="290"/>
        </w:trPr>
        <w:tc>
          <w:tcPr>
            <w:tcW w:w="4177" w:type="dxa"/>
            <w:tcBorders>
              <w:top w:val="nil"/>
              <w:left w:val="nil"/>
              <w:bottom w:val="nil"/>
              <w:right w:val="nil"/>
            </w:tcBorders>
            <w:shd w:val="clear" w:color="000000" w:fill="FFFFFF"/>
            <w:noWrap/>
            <w:vAlign w:val="bottom"/>
            <w:hideMark/>
          </w:tcPr>
          <w:p w14:paraId="034C67E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53A1DF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19D91C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4EDB35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(0.69)</w:t>
            </w:r>
          </w:p>
        </w:tc>
        <w:tc>
          <w:tcPr>
            <w:tcW w:w="1115" w:type="dxa"/>
            <w:tcBorders>
              <w:top w:val="nil"/>
              <w:left w:val="nil"/>
              <w:bottom w:val="nil"/>
              <w:right w:val="nil"/>
            </w:tcBorders>
            <w:shd w:val="clear" w:color="000000" w:fill="FFFFFF"/>
            <w:noWrap/>
            <w:vAlign w:val="bottom"/>
            <w:hideMark/>
          </w:tcPr>
          <w:p w14:paraId="3E04FD3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(1.56)</w:t>
            </w:r>
          </w:p>
        </w:tc>
      </w:tr>
      <w:tr w:rsidR="00C85F8D" w:rsidRPr="00F1696E" w14:paraId="612F6E1A" w14:textId="77777777" w:rsidTr="00C85F8D">
        <w:trPr>
          <w:trHeight w:val="290"/>
        </w:trPr>
        <w:tc>
          <w:tcPr>
            <w:tcW w:w="4177" w:type="dxa"/>
            <w:tcBorders>
              <w:top w:val="nil"/>
              <w:left w:val="nil"/>
              <w:bottom w:val="nil"/>
              <w:right w:val="nil"/>
            </w:tcBorders>
            <w:shd w:val="clear" w:color="000000" w:fill="FFFFFF"/>
            <w:noWrap/>
            <w:vAlign w:val="bottom"/>
            <w:hideMark/>
          </w:tcPr>
          <w:p w14:paraId="40CC388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5A1FDD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295118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BCE46D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380043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732A727D" w14:textId="77777777" w:rsidTr="00C85F8D">
        <w:trPr>
          <w:trHeight w:val="290"/>
        </w:trPr>
        <w:tc>
          <w:tcPr>
            <w:tcW w:w="4177" w:type="dxa"/>
            <w:tcBorders>
              <w:top w:val="nil"/>
              <w:left w:val="nil"/>
              <w:bottom w:val="nil"/>
              <w:right w:val="nil"/>
            </w:tcBorders>
            <w:shd w:val="clear" w:color="000000" w:fill="FFFFFF"/>
            <w:noWrap/>
            <w:vAlign w:val="bottom"/>
            <w:hideMark/>
          </w:tcPr>
          <w:p w14:paraId="739FC26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log population</w:t>
            </w:r>
          </w:p>
        </w:tc>
        <w:tc>
          <w:tcPr>
            <w:tcW w:w="1118" w:type="dxa"/>
            <w:tcBorders>
              <w:top w:val="nil"/>
              <w:left w:val="nil"/>
              <w:bottom w:val="nil"/>
              <w:right w:val="nil"/>
            </w:tcBorders>
            <w:shd w:val="clear" w:color="000000" w:fill="FFFFFF"/>
            <w:noWrap/>
            <w:vAlign w:val="bottom"/>
            <w:hideMark/>
          </w:tcPr>
          <w:p w14:paraId="52F18C8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17AA2B2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645816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0.427*</w:t>
            </w:r>
          </w:p>
        </w:tc>
        <w:tc>
          <w:tcPr>
            <w:tcW w:w="1115" w:type="dxa"/>
            <w:tcBorders>
              <w:top w:val="nil"/>
              <w:left w:val="nil"/>
              <w:bottom w:val="nil"/>
              <w:right w:val="nil"/>
            </w:tcBorders>
            <w:shd w:val="clear" w:color="000000" w:fill="FFFFFF"/>
            <w:noWrap/>
            <w:vAlign w:val="bottom"/>
            <w:hideMark/>
          </w:tcPr>
          <w:p w14:paraId="638151C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0.304</w:t>
            </w:r>
          </w:p>
        </w:tc>
      </w:tr>
      <w:tr w:rsidR="00C85F8D" w:rsidRPr="00F1696E" w14:paraId="3BA74793" w14:textId="77777777" w:rsidTr="00C85F8D">
        <w:trPr>
          <w:trHeight w:val="290"/>
        </w:trPr>
        <w:tc>
          <w:tcPr>
            <w:tcW w:w="4177" w:type="dxa"/>
            <w:tcBorders>
              <w:top w:val="nil"/>
              <w:left w:val="nil"/>
              <w:bottom w:val="nil"/>
              <w:right w:val="nil"/>
            </w:tcBorders>
            <w:shd w:val="clear" w:color="000000" w:fill="FFFFFF"/>
            <w:noWrap/>
            <w:vAlign w:val="bottom"/>
            <w:hideMark/>
          </w:tcPr>
          <w:p w14:paraId="3E771EA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ADF75E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9BA460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A1E50B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(1.90)</w:t>
            </w:r>
          </w:p>
        </w:tc>
        <w:tc>
          <w:tcPr>
            <w:tcW w:w="1115" w:type="dxa"/>
            <w:tcBorders>
              <w:top w:val="nil"/>
              <w:left w:val="nil"/>
              <w:bottom w:val="nil"/>
              <w:right w:val="nil"/>
            </w:tcBorders>
            <w:shd w:val="clear" w:color="000000" w:fill="FFFFFF"/>
            <w:noWrap/>
            <w:vAlign w:val="bottom"/>
            <w:hideMark/>
          </w:tcPr>
          <w:p w14:paraId="680C51B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(1.28)</w:t>
            </w:r>
          </w:p>
        </w:tc>
      </w:tr>
      <w:tr w:rsidR="00C85F8D" w:rsidRPr="00F1696E" w14:paraId="407DA0ED" w14:textId="77777777" w:rsidTr="00C85F8D">
        <w:trPr>
          <w:trHeight w:val="290"/>
        </w:trPr>
        <w:tc>
          <w:tcPr>
            <w:tcW w:w="4177" w:type="dxa"/>
            <w:tcBorders>
              <w:top w:val="nil"/>
              <w:left w:val="nil"/>
              <w:bottom w:val="nil"/>
              <w:right w:val="nil"/>
            </w:tcBorders>
            <w:shd w:val="clear" w:color="000000" w:fill="FFFFFF"/>
            <w:noWrap/>
            <w:vAlign w:val="bottom"/>
            <w:hideMark/>
          </w:tcPr>
          <w:p w14:paraId="1B719C6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08B137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27748A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529EE2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4A31C3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692757D5" w14:textId="77777777" w:rsidTr="00C85F8D">
        <w:trPr>
          <w:trHeight w:val="290"/>
        </w:trPr>
        <w:tc>
          <w:tcPr>
            <w:tcW w:w="4177" w:type="dxa"/>
            <w:tcBorders>
              <w:top w:val="nil"/>
              <w:left w:val="nil"/>
              <w:bottom w:val="nil"/>
              <w:right w:val="nil"/>
            </w:tcBorders>
            <w:shd w:val="clear" w:color="000000" w:fill="FFFFFF"/>
            <w:noWrap/>
            <w:vAlign w:val="bottom"/>
            <w:hideMark/>
          </w:tcPr>
          <w:p w14:paraId="2E937A1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VA share of agriculture (2014-19)</w:t>
            </w:r>
          </w:p>
        </w:tc>
        <w:tc>
          <w:tcPr>
            <w:tcW w:w="1118" w:type="dxa"/>
            <w:tcBorders>
              <w:top w:val="nil"/>
              <w:left w:val="nil"/>
              <w:bottom w:val="nil"/>
              <w:right w:val="nil"/>
            </w:tcBorders>
            <w:shd w:val="clear" w:color="000000" w:fill="FFFFFF"/>
            <w:noWrap/>
            <w:vAlign w:val="bottom"/>
            <w:hideMark/>
          </w:tcPr>
          <w:p w14:paraId="6AC0987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9A585E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E0E36F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25EC7E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0.0905*</w:t>
            </w:r>
          </w:p>
        </w:tc>
      </w:tr>
      <w:tr w:rsidR="00C85F8D" w:rsidRPr="00F1696E" w14:paraId="711190DA" w14:textId="77777777" w:rsidTr="00C85F8D">
        <w:trPr>
          <w:trHeight w:val="290"/>
        </w:trPr>
        <w:tc>
          <w:tcPr>
            <w:tcW w:w="4177" w:type="dxa"/>
            <w:tcBorders>
              <w:top w:val="nil"/>
              <w:left w:val="nil"/>
              <w:bottom w:val="nil"/>
              <w:right w:val="nil"/>
            </w:tcBorders>
            <w:shd w:val="clear" w:color="000000" w:fill="FFFFFF"/>
            <w:noWrap/>
            <w:vAlign w:val="bottom"/>
            <w:hideMark/>
          </w:tcPr>
          <w:p w14:paraId="256176B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7136F38"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F9E880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FD5D98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A06C71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(1.69)</w:t>
            </w:r>
          </w:p>
        </w:tc>
      </w:tr>
      <w:tr w:rsidR="00C85F8D" w:rsidRPr="00F1696E" w14:paraId="3BED5CD7" w14:textId="77777777" w:rsidTr="00C85F8D">
        <w:trPr>
          <w:trHeight w:val="290"/>
        </w:trPr>
        <w:tc>
          <w:tcPr>
            <w:tcW w:w="4177" w:type="dxa"/>
            <w:tcBorders>
              <w:top w:val="nil"/>
              <w:left w:val="nil"/>
              <w:bottom w:val="nil"/>
              <w:right w:val="nil"/>
            </w:tcBorders>
            <w:shd w:val="clear" w:color="000000" w:fill="FFFFFF"/>
            <w:noWrap/>
            <w:vAlign w:val="bottom"/>
            <w:hideMark/>
          </w:tcPr>
          <w:p w14:paraId="49EEFBF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04648C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3626CF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1FAC04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BAE61D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32D62D62" w14:textId="77777777" w:rsidTr="00C85F8D">
        <w:trPr>
          <w:trHeight w:val="290"/>
        </w:trPr>
        <w:tc>
          <w:tcPr>
            <w:tcW w:w="4177" w:type="dxa"/>
            <w:tcBorders>
              <w:top w:val="nil"/>
              <w:left w:val="nil"/>
              <w:bottom w:val="nil"/>
              <w:right w:val="nil"/>
            </w:tcBorders>
            <w:shd w:val="clear" w:color="000000" w:fill="FFFFFF"/>
            <w:noWrap/>
            <w:vAlign w:val="bottom"/>
            <w:hideMark/>
          </w:tcPr>
          <w:p w14:paraId="1C0F70C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VA share of manufacturing  (avg 2014-19)</w:t>
            </w:r>
          </w:p>
        </w:tc>
        <w:tc>
          <w:tcPr>
            <w:tcW w:w="1118" w:type="dxa"/>
            <w:tcBorders>
              <w:top w:val="nil"/>
              <w:left w:val="nil"/>
              <w:bottom w:val="nil"/>
              <w:right w:val="nil"/>
            </w:tcBorders>
            <w:shd w:val="clear" w:color="000000" w:fill="FFFFFF"/>
            <w:noWrap/>
            <w:vAlign w:val="bottom"/>
            <w:hideMark/>
          </w:tcPr>
          <w:p w14:paraId="1765395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1556BF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51AABE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B41B55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0.104**</w:t>
            </w:r>
          </w:p>
        </w:tc>
      </w:tr>
      <w:tr w:rsidR="00C85F8D" w:rsidRPr="00F1696E" w14:paraId="57D8C1B0" w14:textId="77777777" w:rsidTr="00C85F8D">
        <w:trPr>
          <w:trHeight w:val="290"/>
        </w:trPr>
        <w:tc>
          <w:tcPr>
            <w:tcW w:w="4177" w:type="dxa"/>
            <w:tcBorders>
              <w:top w:val="nil"/>
              <w:left w:val="nil"/>
              <w:bottom w:val="nil"/>
              <w:right w:val="nil"/>
            </w:tcBorders>
            <w:shd w:val="clear" w:color="000000" w:fill="FFFFFF"/>
            <w:noWrap/>
            <w:vAlign w:val="bottom"/>
            <w:hideMark/>
          </w:tcPr>
          <w:p w14:paraId="5D97E89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7C2901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E1FAFA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0A1A06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394A05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(2.10)</w:t>
            </w:r>
          </w:p>
        </w:tc>
      </w:tr>
      <w:tr w:rsidR="00C85F8D" w:rsidRPr="00F1696E" w14:paraId="1BBFC68C" w14:textId="77777777" w:rsidTr="00C85F8D">
        <w:trPr>
          <w:trHeight w:val="290"/>
        </w:trPr>
        <w:tc>
          <w:tcPr>
            <w:tcW w:w="4177" w:type="dxa"/>
            <w:tcBorders>
              <w:top w:val="nil"/>
              <w:left w:val="nil"/>
              <w:bottom w:val="nil"/>
              <w:right w:val="nil"/>
            </w:tcBorders>
            <w:shd w:val="clear" w:color="000000" w:fill="FFFFFF"/>
            <w:noWrap/>
            <w:vAlign w:val="bottom"/>
            <w:hideMark/>
          </w:tcPr>
          <w:p w14:paraId="318B55B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4964A3C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4EBCFA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58A02A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A94710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56E2C0AB" w14:textId="77777777" w:rsidTr="00C85F8D">
        <w:trPr>
          <w:trHeight w:val="290"/>
        </w:trPr>
        <w:tc>
          <w:tcPr>
            <w:tcW w:w="4177" w:type="dxa"/>
            <w:tcBorders>
              <w:top w:val="nil"/>
              <w:left w:val="nil"/>
              <w:bottom w:val="nil"/>
              <w:right w:val="nil"/>
            </w:tcBorders>
            <w:shd w:val="clear" w:color="000000" w:fill="FFFFFF"/>
            <w:noWrap/>
            <w:vAlign w:val="bottom"/>
            <w:hideMark/>
          </w:tcPr>
          <w:p w14:paraId="2730AF8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Constant</w:t>
            </w:r>
          </w:p>
        </w:tc>
        <w:tc>
          <w:tcPr>
            <w:tcW w:w="1118" w:type="dxa"/>
            <w:tcBorders>
              <w:top w:val="nil"/>
              <w:left w:val="nil"/>
              <w:bottom w:val="nil"/>
              <w:right w:val="nil"/>
            </w:tcBorders>
            <w:shd w:val="clear" w:color="000000" w:fill="FFFFFF"/>
            <w:noWrap/>
            <w:vAlign w:val="bottom"/>
            <w:hideMark/>
          </w:tcPr>
          <w:p w14:paraId="11CA3FC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-3.375**</w:t>
            </w:r>
          </w:p>
        </w:tc>
        <w:tc>
          <w:tcPr>
            <w:tcW w:w="1115" w:type="dxa"/>
            <w:tcBorders>
              <w:top w:val="nil"/>
              <w:left w:val="nil"/>
              <w:bottom w:val="nil"/>
              <w:right w:val="nil"/>
            </w:tcBorders>
            <w:shd w:val="clear" w:color="000000" w:fill="FFFFFF"/>
            <w:noWrap/>
            <w:vAlign w:val="bottom"/>
            <w:hideMark/>
          </w:tcPr>
          <w:p w14:paraId="16FEAE6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1.395</w:t>
            </w:r>
          </w:p>
        </w:tc>
        <w:tc>
          <w:tcPr>
            <w:tcW w:w="1115" w:type="dxa"/>
            <w:tcBorders>
              <w:top w:val="nil"/>
              <w:left w:val="nil"/>
              <w:bottom w:val="nil"/>
              <w:right w:val="nil"/>
            </w:tcBorders>
            <w:shd w:val="clear" w:color="000000" w:fill="FFFFFF"/>
            <w:noWrap/>
            <w:vAlign w:val="bottom"/>
            <w:hideMark/>
          </w:tcPr>
          <w:p w14:paraId="4375AD3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-0.298</w:t>
            </w:r>
          </w:p>
        </w:tc>
        <w:tc>
          <w:tcPr>
            <w:tcW w:w="1115" w:type="dxa"/>
            <w:tcBorders>
              <w:top w:val="nil"/>
              <w:left w:val="nil"/>
              <w:bottom w:val="nil"/>
              <w:right w:val="nil"/>
            </w:tcBorders>
            <w:shd w:val="clear" w:color="000000" w:fill="FFFFFF"/>
            <w:noWrap/>
            <w:vAlign w:val="bottom"/>
            <w:hideMark/>
          </w:tcPr>
          <w:p w14:paraId="1481E96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-6.599*</w:t>
            </w:r>
          </w:p>
        </w:tc>
      </w:tr>
      <w:tr w:rsidR="00C85F8D" w:rsidRPr="00F1696E" w14:paraId="10B3BF01" w14:textId="77777777" w:rsidTr="00C85F8D">
        <w:trPr>
          <w:trHeight w:val="290"/>
        </w:trPr>
        <w:tc>
          <w:tcPr>
            <w:tcW w:w="4177" w:type="dxa"/>
            <w:tcBorders>
              <w:top w:val="nil"/>
              <w:left w:val="nil"/>
              <w:bottom w:val="nil"/>
              <w:right w:val="nil"/>
            </w:tcBorders>
            <w:shd w:val="clear" w:color="000000" w:fill="FFFFFF"/>
            <w:noWrap/>
            <w:vAlign w:val="bottom"/>
            <w:hideMark/>
          </w:tcPr>
          <w:p w14:paraId="5406542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1D876C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(-2.10)</w:t>
            </w:r>
          </w:p>
        </w:tc>
        <w:tc>
          <w:tcPr>
            <w:tcW w:w="1115" w:type="dxa"/>
            <w:tcBorders>
              <w:top w:val="nil"/>
              <w:left w:val="nil"/>
              <w:bottom w:val="nil"/>
              <w:right w:val="nil"/>
            </w:tcBorders>
            <w:shd w:val="clear" w:color="000000" w:fill="FFFFFF"/>
            <w:noWrap/>
            <w:vAlign w:val="bottom"/>
            <w:hideMark/>
          </w:tcPr>
          <w:p w14:paraId="385172C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(1.16)</w:t>
            </w:r>
          </w:p>
        </w:tc>
        <w:tc>
          <w:tcPr>
            <w:tcW w:w="1115" w:type="dxa"/>
            <w:tcBorders>
              <w:top w:val="nil"/>
              <w:left w:val="nil"/>
              <w:bottom w:val="nil"/>
              <w:right w:val="nil"/>
            </w:tcBorders>
            <w:shd w:val="clear" w:color="000000" w:fill="FFFFFF"/>
            <w:noWrap/>
            <w:vAlign w:val="bottom"/>
            <w:hideMark/>
          </w:tcPr>
          <w:p w14:paraId="27AC346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(-0.16)</w:t>
            </w:r>
          </w:p>
        </w:tc>
        <w:tc>
          <w:tcPr>
            <w:tcW w:w="1115" w:type="dxa"/>
            <w:tcBorders>
              <w:top w:val="nil"/>
              <w:left w:val="nil"/>
              <w:bottom w:val="nil"/>
              <w:right w:val="nil"/>
            </w:tcBorders>
            <w:shd w:val="clear" w:color="000000" w:fill="FFFFFF"/>
            <w:noWrap/>
            <w:vAlign w:val="bottom"/>
            <w:hideMark/>
          </w:tcPr>
          <w:p w14:paraId="14620DA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(-1.66)</w:t>
            </w:r>
          </w:p>
        </w:tc>
      </w:tr>
      <w:tr w:rsidR="00C85F8D" w:rsidRPr="00F1696E" w14:paraId="7F07C2F2" w14:textId="77777777" w:rsidTr="00C85F8D">
        <w:trPr>
          <w:trHeight w:val="290"/>
        </w:trPr>
        <w:tc>
          <w:tcPr>
            <w:tcW w:w="4177" w:type="dxa"/>
            <w:tcBorders>
              <w:top w:val="nil"/>
              <w:left w:val="nil"/>
              <w:bottom w:val="nil"/>
              <w:right w:val="nil"/>
            </w:tcBorders>
            <w:shd w:val="clear" w:color="000000" w:fill="FFFFFF"/>
            <w:noWrap/>
            <w:vAlign w:val="bottom"/>
            <w:hideMark/>
          </w:tcPr>
          <w:p w14:paraId="5AB3475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AC443A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664F56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A26403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187942E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7E1B3F6C" w14:textId="77777777" w:rsidTr="00C85F8D">
        <w:trPr>
          <w:trHeight w:val="290"/>
        </w:trPr>
        <w:tc>
          <w:tcPr>
            <w:tcW w:w="4177" w:type="dxa"/>
            <w:tcBorders>
              <w:top w:val="nil"/>
              <w:left w:val="nil"/>
              <w:bottom w:val="nil"/>
              <w:right w:val="nil"/>
            </w:tcBorders>
            <w:shd w:val="clear" w:color="000000" w:fill="FFFFFF"/>
            <w:noWrap/>
            <w:vAlign w:val="bottom"/>
            <w:hideMark/>
          </w:tcPr>
          <w:p w14:paraId="67CEBED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Observations</w:t>
            </w:r>
          </w:p>
        </w:tc>
        <w:tc>
          <w:tcPr>
            <w:tcW w:w="1118" w:type="dxa"/>
            <w:tcBorders>
              <w:top w:val="nil"/>
              <w:left w:val="nil"/>
              <w:bottom w:val="nil"/>
              <w:right w:val="nil"/>
            </w:tcBorders>
            <w:shd w:val="clear" w:color="000000" w:fill="FFFFFF"/>
            <w:noWrap/>
            <w:vAlign w:val="bottom"/>
            <w:hideMark/>
          </w:tcPr>
          <w:p w14:paraId="017D155B"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166</w:t>
            </w:r>
          </w:p>
        </w:tc>
        <w:tc>
          <w:tcPr>
            <w:tcW w:w="1115" w:type="dxa"/>
            <w:tcBorders>
              <w:top w:val="nil"/>
              <w:left w:val="nil"/>
              <w:bottom w:val="nil"/>
              <w:right w:val="nil"/>
            </w:tcBorders>
            <w:shd w:val="clear" w:color="000000" w:fill="FFFFFF"/>
            <w:noWrap/>
            <w:vAlign w:val="bottom"/>
            <w:hideMark/>
          </w:tcPr>
          <w:p w14:paraId="36A8FB35"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153</w:t>
            </w:r>
          </w:p>
        </w:tc>
        <w:tc>
          <w:tcPr>
            <w:tcW w:w="1115" w:type="dxa"/>
            <w:tcBorders>
              <w:top w:val="nil"/>
              <w:left w:val="nil"/>
              <w:bottom w:val="nil"/>
              <w:right w:val="nil"/>
            </w:tcBorders>
            <w:shd w:val="clear" w:color="000000" w:fill="FFFFFF"/>
            <w:noWrap/>
            <w:vAlign w:val="bottom"/>
            <w:hideMark/>
          </w:tcPr>
          <w:p w14:paraId="0BB9EE1C"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153</w:t>
            </w:r>
          </w:p>
        </w:tc>
        <w:tc>
          <w:tcPr>
            <w:tcW w:w="1115" w:type="dxa"/>
            <w:tcBorders>
              <w:top w:val="nil"/>
              <w:left w:val="nil"/>
              <w:bottom w:val="nil"/>
              <w:right w:val="nil"/>
            </w:tcBorders>
            <w:shd w:val="clear" w:color="000000" w:fill="FFFFFF"/>
            <w:noWrap/>
            <w:vAlign w:val="bottom"/>
            <w:hideMark/>
          </w:tcPr>
          <w:p w14:paraId="76F05C8B"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148</w:t>
            </w:r>
          </w:p>
        </w:tc>
      </w:tr>
      <w:tr w:rsidR="00C85F8D" w:rsidRPr="00F1696E" w14:paraId="506B743A" w14:textId="77777777" w:rsidTr="00C85F8D">
        <w:trPr>
          <w:trHeight w:val="290"/>
        </w:trPr>
        <w:tc>
          <w:tcPr>
            <w:tcW w:w="4177" w:type="dxa"/>
            <w:tcBorders>
              <w:top w:val="nil"/>
              <w:left w:val="nil"/>
              <w:bottom w:val="nil"/>
              <w:right w:val="nil"/>
            </w:tcBorders>
            <w:shd w:val="clear" w:color="000000" w:fill="FFFFFF"/>
            <w:noWrap/>
            <w:vAlign w:val="bottom"/>
            <w:hideMark/>
          </w:tcPr>
          <w:p w14:paraId="765D070B" w14:textId="7A92F23B" w:rsidR="00C85F8D" w:rsidRPr="00F1696E" w:rsidRDefault="00C85F8D" w:rsidP="005011E9">
            <w:pPr>
              <w:spacing w:after="0" w:line="240" w:lineRule="auto"/>
              <w:rPr>
                <w:rFonts w:ascii="Calibri" w:eastAsia="Times New Roman" w:hAnsi="Calibri" w:cs="Times New Roman"/>
                <w:color w:val="000000"/>
              </w:rPr>
            </w:pPr>
            <w:r w:rsidRPr="00AD48F1">
              <w:rPr>
                <w:rFonts w:eastAsia="Times New Roman" w:cs="Times New Roman"/>
                <w:color w:val="000000"/>
                <w:sz w:val="20"/>
                <w:szCs w:val="20"/>
              </w:rPr>
              <w:t>R</w:t>
            </w:r>
            <w:r>
              <w:rPr>
                <w:rFonts w:eastAsia="Times New Roman" w:cs="Times New Roman"/>
                <w:color w:val="000000"/>
                <w:sz w:val="20"/>
                <w:szCs w:val="20"/>
                <w:vertAlign w:val="superscript"/>
              </w:rPr>
              <w:t>2</w:t>
            </w:r>
          </w:p>
        </w:tc>
        <w:tc>
          <w:tcPr>
            <w:tcW w:w="1118" w:type="dxa"/>
            <w:tcBorders>
              <w:top w:val="nil"/>
              <w:left w:val="nil"/>
              <w:bottom w:val="nil"/>
              <w:right w:val="nil"/>
            </w:tcBorders>
            <w:shd w:val="clear" w:color="000000" w:fill="FFFFFF"/>
            <w:noWrap/>
            <w:vAlign w:val="bottom"/>
            <w:hideMark/>
          </w:tcPr>
          <w:p w14:paraId="69E43817"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0.07</w:t>
            </w:r>
          </w:p>
        </w:tc>
        <w:tc>
          <w:tcPr>
            <w:tcW w:w="1115" w:type="dxa"/>
            <w:tcBorders>
              <w:top w:val="nil"/>
              <w:left w:val="nil"/>
              <w:bottom w:val="nil"/>
              <w:right w:val="nil"/>
            </w:tcBorders>
            <w:shd w:val="clear" w:color="000000" w:fill="FFFFFF"/>
            <w:noWrap/>
            <w:vAlign w:val="bottom"/>
            <w:hideMark/>
          </w:tcPr>
          <w:p w14:paraId="7348B760"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0.51</w:t>
            </w:r>
          </w:p>
        </w:tc>
        <w:tc>
          <w:tcPr>
            <w:tcW w:w="1115" w:type="dxa"/>
            <w:tcBorders>
              <w:top w:val="nil"/>
              <w:left w:val="nil"/>
              <w:bottom w:val="nil"/>
              <w:right w:val="nil"/>
            </w:tcBorders>
            <w:shd w:val="clear" w:color="000000" w:fill="FFFFFF"/>
            <w:noWrap/>
            <w:vAlign w:val="bottom"/>
            <w:hideMark/>
          </w:tcPr>
          <w:p w14:paraId="47AFC2BA"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0.53</w:t>
            </w:r>
          </w:p>
        </w:tc>
        <w:tc>
          <w:tcPr>
            <w:tcW w:w="1115" w:type="dxa"/>
            <w:tcBorders>
              <w:top w:val="nil"/>
              <w:left w:val="nil"/>
              <w:bottom w:val="nil"/>
              <w:right w:val="nil"/>
            </w:tcBorders>
            <w:shd w:val="clear" w:color="000000" w:fill="FFFFFF"/>
            <w:noWrap/>
            <w:vAlign w:val="bottom"/>
            <w:hideMark/>
          </w:tcPr>
          <w:p w14:paraId="3CCE464B"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0.48</w:t>
            </w:r>
          </w:p>
        </w:tc>
      </w:tr>
    </w:tbl>
    <w:p w14:paraId="2E4536B6" w14:textId="77777777" w:rsidR="00C85F8D" w:rsidRDefault="00C85F8D" w:rsidP="00C85F8D">
      <w:pPr>
        <w:spacing w:after="0" w:line="240" w:lineRule="auto"/>
      </w:pPr>
    </w:p>
    <w:p w14:paraId="23609F84" w14:textId="77777777" w:rsidR="00C85F8D" w:rsidRDefault="00C85F8D" w:rsidP="00C85F8D">
      <w:pPr>
        <w:spacing w:after="0" w:line="240" w:lineRule="auto"/>
      </w:pPr>
    </w:p>
    <w:p w14:paraId="11F23B07" w14:textId="3050B5F1" w:rsidR="00C85F8D" w:rsidRDefault="00C85F8D" w:rsidP="00C85F8D">
      <w:pPr>
        <w:spacing w:after="0" w:line="240" w:lineRule="auto"/>
      </w:pPr>
      <w:r>
        <w:t xml:space="preserve">Note: Dependent variable is GDP growth in 2020 minus the pre-COVID growth forecast (from WEO, 2020). </w:t>
      </w:r>
    </w:p>
    <w:p w14:paraId="14CF3FCE" w14:textId="6ED52858" w:rsidR="00C85F8D" w:rsidRPr="00F1696E" w:rsidRDefault="00C85F8D" w:rsidP="00C85F8D">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lastRenderedPageBreak/>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19DF55B7" w14:textId="77777777" w:rsidR="00C85F8D" w:rsidRDefault="00C85F8D"/>
    <w:p w14:paraId="7CD3C64A" w14:textId="7B66536B" w:rsidR="008F637C" w:rsidRDefault="00C85F8D" w:rsidP="004052DB">
      <w:pPr>
        <w:jc w:val="center"/>
      </w:pPr>
      <w:r>
        <w:br w:type="page"/>
      </w:r>
      <w:r w:rsidR="008F637C">
        <w:lastRenderedPageBreak/>
        <w:t xml:space="preserve">Table </w:t>
      </w:r>
      <w:r w:rsidR="004052DB">
        <w:t>8</w:t>
      </w:r>
      <w:r w:rsidR="008F637C">
        <w:t>. Growth Regressions (I</w:t>
      </w:r>
      <w:r w:rsidR="001A6487">
        <w:t>I</w:t>
      </w:r>
      <w:r w:rsidR="008F637C">
        <w:t>)</w:t>
      </w:r>
    </w:p>
    <w:tbl>
      <w:tblPr>
        <w:tblW w:w="10080" w:type="dxa"/>
        <w:tblLook w:val="04A0" w:firstRow="1" w:lastRow="0" w:firstColumn="1" w:lastColumn="0" w:noHBand="0" w:noVBand="1"/>
      </w:tblPr>
      <w:tblGrid>
        <w:gridCol w:w="2969"/>
        <w:gridCol w:w="1072"/>
        <w:gridCol w:w="1033"/>
        <w:gridCol w:w="957"/>
        <w:gridCol w:w="1072"/>
        <w:gridCol w:w="1016"/>
        <w:gridCol w:w="928"/>
        <w:gridCol w:w="1033"/>
      </w:tblGrid>
      <w:tr w:rsidR="00E146F0" w:rsidRPr="000B1F26" w14:paraId="71DE4A1D" w14:textId="77777777" w:rsidTr="00FC0391">
        <w:trPr>
          <w:trHeight w:val="290"/>
        </w:trPr>
        <w:tc>
          <w:tcPr>
            <w:tcW w:w="2969" w:type="dxa"/>
            <w:tcBorders>
              <w:top w:val="nil"/>
              <w:left w:val="nil"/>
              <w:bottom w:val="nil"/>
              <w:right w:val="nil"/>
            </w:tcBorders>
            <w:shd w:val="clear" w:color="000000" w:fill="FFFFFF"/>
            <w:noWrap/>
            <w:vAlign w:val="bottom"/>
            <w:hideMark/>
          </w:tcPr>
          <w:p w14:paraId="77A6C49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53D0E13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w:t>
            </w:r>
          </w:p>
        </w:tc>
        <w:tc>
          <w:tcPr>
            <w:tcW w:w="1033" w:type="dxa"/>
            <w:tcBorders>
              <w:top w:val="nil"/>
              <w:left w:val="nil"/>
              <w:bottom w:val="nil"/>
              <w:right w:val="nil"/>
            </w:tcBorders>
            <w:shd w:val="clear" w:color="000000" w:fill="FFFFFF"/>
            <w:noWrap/>
            <w:vAlign w:val="bottom"/>
            <w:hideMark/>
          </w:tcPr>
          <w:p w14:paraId="0F5C1D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w:t>
            </w:r>
          </w:p>
        </w:tc>
        <w:tc>
          <w:tcPr>
            <w:tcW w:w="957" w:type="dxa"/>
            <w:tcBorders>
              <w:top w:val="nil"/>
              <w:left w:val="nil"/>
              <w:bottom w:val="nil"/>
              <w:right w:val="nil"/>
            </w:tcBorders>
            <w:shd w:val="clear" w:color="000000" w:fill="FFFFFF"/>
            <w:noWrap/>
            <w:vAlign w:val="bottom"/>
            <w:hideMark/>
          </w:tcPr>
          <w:p w14:paraId="5BDACAC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w:t>
            </w:r>
          </w:p>
        </w:tc>
        <w:tc>
          <w:tcPr>
            <w:tcW w:w="1072" w:type="dxa"/>
            <w:tcBorders>
              <w:top w:val="nil"/>
              <w:left w:val="nil"/>
              <w:bottom w:val="nil"/>
              <w:right w:val="nil"/>
            </w:tcBorders>
            <w:shd w:val="clear" w:color="000000" w:fill="FFFFFF"/>
            <w:noWrap/>
            <w:vAlign w:val="bottom"/>
            <w:hideMark/>
          </w:tcPr>
          <w:p w14:paraId="73A347A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w:t>
            </w:r>
          </w:p>
        </w:tc>
        <w:tc>
          <w:tcPr>
            <w:tcW w:w="1016" w:type="dxa"/>
            <w:tcBorders>
              <w:top w:val="nil"/>
              <w:left w:val="nil"/>
              <w:bottom w:val="nil"/>
              <w:right w:val="nil"/>
            </w:tcBorders>
            <w:shd w:val="clear" w:color="000000" w:fill="FFFFFF"/>
            <w:noWrap/>
            <w:vAlign w:val="bottom"/>
            <w:hideMark/>
          </w:tcPr>
          <w:p w14:paraId="59FFE2E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w:t>
            </w:r>
          </w:p>
        </w:tc>
        <w:tc>
          <w:tcPr>
            <w:tcW w:w="928" w:type="dxa"/>
            <w:tcBorders>
              <w:top w:val="nil"/>
              <w:left w:val="nil"/>
              <w:bottom w:val="nil"/>
              <w:right w:val="nil"/>
            </w:tcBorders>
            <w:shd w:val="clear" w:color="000000" w:fill="FFFFFF"/>
            <w:noWrap/>
            <w:vAlign w:val="bottom"/>
            <w:hideMark/>
          </w:tcPr>
          <w:p w14:paraId="48B1664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w:t>
            </w:r>
          </w:p>
        </w:tc>
        <w:tc>
          <w:tcPr>
            <w:tcW w:w="1033" w:type="dxa"/>
            <w:tcBorders>
              <w:top w:val="nil"/>
              <w:left w:val="nil"/>
              <w:bottom w:val="nil"/>
              <w:right w:val="nil"/>
            </w:tcBorders>
            <w:shd w:val="clear" w:color="000000" w:fill="FFFFFF"/>
            <w:noWrap/>
            <w:vAlign w:val="bottom"/>
            <w:hideMark/>
          </w:tcPr>
          <w:p w14:paraId="58ACA26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(7)</w:t>
            </w:r>
          </w:p>
        </w:tc>
      </w:tr>
      <w:tr w:rsidR="00E146F0" w:rsidRPr="000B1F26" w14:paraId="793BC250" w14:textId="77777777" w:rsidTr="00FC0391">
        <w:trPr>
          <w:trHeight w:val="580"/>
        </w:trPr>
        <w:tc>
          <w:tcPr>
            <w:tcW w:w="2969" w:type="dxa"/>
            <w:tcBorders>
              <w:top w:val="nil"/>
              <w:left w:val="nil"/>
              <w:bottom w:val="nil"/>
              <w:right w:val="nil"/>
            </w:tcBorders>
            <w:shd w:val="clear" w:color="000000" w:fill="FFFFFF"/>
            <w:noWrap/>
            <w:vAlign w:val="bottom"/>
            <w:hideMark/>
          </w:tcPr>
          <w:p w14:paraId="77CE236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2F12AB6"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3A323E8E" w14:textId="7DBE91ED" w:rsidR="00FC0391" w:rsidRPr="000B1F26" w:rsidRDefault="00FC0391" w:rsidP="000B1F26">
            <w:pPr>
              <w:spacing w:after="0" w:line="240" w:lineRule="auto"/>
              <w:rPr>
                <w:rFonts w:eastAsia="Times New Roman" w:cstheme="minorHAnsi"/>
                <w:color w:val="000000"/>
                <w:sz w:val="20"/>
                <w:szCs w:val="20"/>
              </w:rPr>
            </w:pPr>
          </w:p>
        </w:tc>
        <w:tc>
          <w:tcPr>
            <w:tcW w:w="1033" w:type="dxa"/>
            <w:tcBorders>
              <w:top w:val="nil"/>
              <w:left w:val="nil"/>
              <w:bottom w:val="nil"/>
              <w:right w:val="nil"/>
            </w:tcBorders>
            <w:shd w:val="clear" w:color="000000" w:fill="FFFFFF"/>
            <w:noWrap/>
            <w:vAlign w:val="bottom"/>
            <w:hideMark/>
          </w:tcPr>
          <w:p w14:paraId="27DB94D3"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AE</w:t>
            </w:r>
          </w:p>
          <w:p w14:paraId="34969059" w14:textId="4900341A" w:rsidR="00FC0391" w:rsidRPr="000B1F26" w:rsidRDefault="00FC0391" w:rsidP="000B1F26">
            <w:pPr>
              <w:spacing w:after="0" w:line="240" w:lineRule="auto"/>
              <w:rPr>
                <w:rFonts w:eastAsia="Times New Roman" w:cstheme="minorHAnsi"/>
                <w:color w:val="000000"/>
                <w:sz w:val="20"/>
                <w:szCs w:val="20"/>
              </w:rPr>
            </w:pPr>
          </w:p>
        </w:tc>
        <w:tc>
          <w:tcPr>
            <w:tcW w:w="957" w:type="dxa"/>
            <w:tcBorders>
              <w:top w:val="nil"/>
              <w:left w:val="nil"/>
              <w:bottom w:val="nil"/>
              <w:right w:val="nil"/>
            </w:tcBorders>
            <w:shd w:val="clear" w:color="000000" w:fill="FFFFFF"/>
            <w:noWrap/>
            <w:vAlign w:val="bottom"/>
            <w:hideMark/>
          </w:tcPr>
          <w:p w14:paraId="6635D14A"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EM</w:t>
            </w:r>
          </w:p>
          <w:p w14:paraId="0F2C7A1B" w14:textId="2DE93227" w:rsidR="00FC0391" w:rsidRPr="000B1F26" w:rsidRDefault="00FC0391" w:rsidP="000B1F26">
            <w:pPr>
              <w:spacing w:after="0" w:line="240" w:lineRule="auto"/>
              <w:rPr>
                <w:rFonts w:eastAsia="Times New Roman" w:cstheme="minorHAnsi"/>
                <w:color w:val="000000"/>
                <w:sz w:val="20"/>
                <w:szCs w:val="20"/>
              </w:rPr>
            </w:pPr>
          </w:p>
        </w:tc>
        <w:tc>
          <w:tcPr>
            <w:tcW w:w="1072" w:type="dxa"/>
            <w:tcBorders>
              <w:top w:val="nil"/>
              <w:left w:val="nil"/>
              <w:bottom w:val="nil"/>
              <w:right w:val="nil"/>
            </w:tcBorders>
            <w:shd w:val="clear" w:color="000000" w:fill="FFFFFF"/>
            <w:noWrap/>
            <w:vAlign w:val="bottom"/>
            <w:hideMark/>
          </w:tcPr>
          <w:p w14:paraId="6FB49E14"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38551422" w14:textId="39AAFCE5" w:rsidR="00FC0391" w:rsidRPr="000B1F26" w:rsidRDefault="00FC0391" w:rsidP="000B1F26">
            <w:pPr>
              <w:spacing w:after="0" w:line="240" w:lineRule="auto"/>
              <w:rPr>
                <w:rFonts w:eastAsia="Times New Roman" w:cstheme="minorHAnsi"/>
                <w:color w:val="000000"/>
                <w:sz w:val="20"/>
                <w:szCs w:val="20"/>
              </w:rPr>
            </w:pPr>
          </w:p>
        </w:tc>
        <w:tc>
          <w:tcPr>
            <w:tcW w:w="1016" w:type="dxa"/>
            <w:tcBorders>
              <w:top w:val="nil"/>
              <w:left w:val="nil"/>
              <w:bottom w:val="nil"/>
              <w:right w:val="nil"/>
            </w:tcBorders>
            <w:shd w:val="clear" w:color="000000" w:fill="FFFFFF"/>
            <w:vAlign w:val="bottom"/>
            <w:hideMark/>
          </w:tcPr>
          <w:p w14:paraId="32F22A4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Dir. Tour&lt;10</w:t>
            </w:r>
          </w:p>
        </w:tc>
        <w:tc>
          <w:tcPr>
            <w:tcW w:w="928" w:type="dxa"/>
            <w:tcBorders>
              <w:top w:val="nil"/>
              <w:left w:val="nil"/>
              <w:bottom w:val="nil"/>
              <w:right w:val="nil"/>
            </w:tcBorders>
            <w:shd w:val="clear" w:color="000000" w:fill="FFFFFF"/>
            <w:vAlign w:val="bottom"/>
            <w:hideMark/>
          </w:tcPr>
          <w:p w14:paraId="0F4CBC0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Dir. Tour&lt;5</w:t>
            </w:r>
          </w:p>
        </w:tc>
        <w:tc>
          <w:tcPr>
            <w:tcW w:w="1033" w:type="dxa"/>
            <w:tcBorders>
              <w:top w:val="nil"/>
              <w:left w:val="nil"/>
              <w:bottom w:val="nil"/>
              <w:right w:val="nil"/>
            </w:tcBorders>
            <w:shd w:val="clear" w:color="000000" w:fill="FFFFFF"/>
            <w:noWrap/>
            <w:vAlign w:val="bottom"/>
            <w:hideMark/>
          </w:tcPr>
          <w:p w14:paraId="0A858314"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0DD681BC" w14:textId="266BA429" w:rsidR="0019507A" w:rsidRPr="000B1F26" w:rsidRDefault="0019507A" w:rsidP="000B1F26">
            <w:pPr>
              <w:spacing w:after="0" w:line="240" w:lineRule="auto"/>
              <w:rPr>
                <w:rFonts w:eastAsia="Times New Roman" w:cstheme="minorHAnsi"/>
                <w:color w:val="000000"/>
                <w:sz w:val="20"/>
                <w:szCs w:val="20"/>
              </w:rPr>
            </w:pPr>
          </w:p>
        </w:tc>
      </w:tr>
      <w:tr w:rsidR="00E146F0" w:rsidRPr="000B1F26" w14:paraId="789B702D" w14:textId="77777777" w:rsidTr="00FC0391">
        <w:trPr>
          <w:trHeight w:val="290"/>
        </w:trPr>
        <w:tc>
          <w:tcPr>
            <w:tcW w:w="2969" w:type="dxa"/>
            <w:tcBorders>
              <w:top w:val="nil"/>
              <w:left w:val="nil"/>
              <w:bottom w:val="nil"/>
              <w:right w:val="nil"/>
            </w:tcBorders>
            <w:shd w:val="clear" w:color="000000" w:fill="FFFFFF"/>
            <w:noWrap/>
            <w:vAlign w:val="bottom"/>
            <w:hideMark/>
          </w:tcPr>
          <w:p w14:paraId="304E1E99" w14:textId="584C7A52"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COVID cases in 2020 </w:t>
            </w:r>
          </w:p>
        </w:tc>
        <w:tc>
          <w:tcPr>
            <w:tcW w:w="1072" w:type="dxa"/>
            <w:tcBorders>
              <w:top w:val="nil"/>
              <w:left w:val="nil"/>
              <w:bottom w:val="nil"/>
              <w:right w:val="nil"/>
            </w:tcBorders>
            <w:shd w:val="clear" w:color="000000" w:fill="FFFFFF"/>
            <w:noWrap/>
            <w:vAlign w:val="bottom"/>
            <w:hideMark/>
          </w:tcPr>
          <w:p w14:paraId="3FF8971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0.0219</w:t>
            </w:r>
          </w:p>
        </w:tc>
        <w:tc>
          <w:tcPr>
            <w:tcW w:w="1033" w:type="dxa"/>
            <w:tcBorders>
              <w:top w:val="nil"/>
              <w:left w:val="nil"/>
              <w:bottom w:val="nil"/>
              <w:right w:val="nil"/>
            </w:tcBorders>
            <w:shd w:val="clear" w:color="000000" w:fill="FFFFFF"/>
            <w:noWrap/>
            <w:vAlign w:val="bottom"/>
            <w:hideMark/>
          </w:tcPr>
          <w:p w14:paraId="3EC94072" w14:textId="18F5FD90"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0.00</w:t>
            </w:r>
            <w:r w:rsidR="00E146F0">
              <w:rPr>
                <w:rFonts w:eastAsia="Times New Roman" w:cstheme="minorHAnsi"/>
                <w:color w:val="000000"/>
                <w:sz w:val="20"/>
                <w:szCs w:val="20"/>
              </w:rPr>
              <w:t>9</w:t>
            </w:r>
          </w:p>
        </w:tc>
        <w:tc>
          <w:tcPr>
            <w:tcW w:w="957" w:type="dxa"/>
            <w:tcBorders>
              <w:top w:val="nil"/>
              <w:left w:val="nil"/>
              <w:bottom w:val="nil"/>
              <w:right w:val="nil"/>
            </w:tcBorders>
            <w:shd w:val="clear" w:color="000000" w:fill="FFFFFF"/>
            <w:noWrap/>
            <w:vAlign w:val="bottom"/>
            <w:hideMark/>
          </w:tcPr>
          <w:p w14:paraId="49BA2F41" w14:textId="7B4C997E"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0.026</w:t>
            </w:r>
          </w:p>
        </w:tc>
        <w:tc>
          <w:tcPr>
            <w:tcW w:w="1072" w:type="dxa"/>
            <w:tcBorders>
              <w:top w:val="nil"/>
              <w:left w:val="nil"/>
              <w:bottom w:val="nil"/>
              <w:right w:val="nil"/>
            </w:tcBorders>
            <w:shd w:val="clear" w:color="000000" w:fill="FFFFFF"/>
            <w:noWrap/>
            <w:vAlign w:val="bottom"/>
            <w:hideMark/>
          </w:tcPr>
          <w:p w14:paraId="06B3A24A" w14:textId="03A8CC9F"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0.02</w:t>
            </w:r>
            <w:r w:rsidR="00FC0391">
              <w:rPr>
                <w:rFonts w:eastAsia="Times New Roman" w:cstheme="minorHAnsi"/>
                <w:color w:val="000000"/>
                <w:sz w:val="20"/>
                <w:szCs w:val="20"/>
              </w:rPr>
              <w:t>3</w:t>
            </w:r>
          </w:p>
        </w:tc>
        <w:tc>
          <w:tcPr>
            <w:tcW w:w="1016" w:type="dxa"/>
            <w:tcBorders>
              <w:top w:val="nil"/>
              <w:left w:val="nil"/>
              <w:bottom w:val="nil"/>
              <w:right w:val="nil"/>
            </w:tcBorders>
            <w:shd w:val="clear" w:color="000000" w:fill="FFFFFF"/>
            <w:noWrap/>
            <w:vAlign w:val="bottom"/>
            <w:hideMark/>
          </w:tcPr>
          <w:p w14:paraId="3465A3E9" w14:textId="619AEA0F"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0.023</w:t>
            </w:r>
          </w:p>
        </w:tc>
        <w:tc>
          <w:tcPr>
            <w:tcW w:w="928" w:type="dxa"/>
            <w:tcBorders>
              <w:top w:val="nil"/>
              <w:left w:val="nil"/>
              <w:bottom w:val="nil"/>
              <w:right w:val="nil"/>
            </w:tcBorders>
            <w:shd w:val="clear" w:color="000000" w:fill="FFFFFF"/>
            <w:noWrap/>
            <w:vAlign w:val="bottom"/>
            <w:hideMark/>
          </w:tcPr>
          <w:p w14:paraId="3A4DEFDF" w14:textId="75127EE4"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0.03</w:t>
            </w:r>
            <w:r w:rsidR="0019507A">
              <w:rPr>
                <w:rFonts w:eastAsia="Times New Roman" w:cstheme="minorHAnsi"/>
                <w:color w:val="000000"/>
                <w:sz w:val="20"/>
                <w:szCs w:val="20"/>
              </w:rPr>
              <w:t>6</w:t>
            </w:r>
          </w:p>
        </w:tc>
        <w:tc>
          <w:tcPr>
            <w:tcW w:w="1033" w:type="dxa"/>
            <w:tcBorders>
              <w:top w:val="nil"/>
              <w:left w:val="nil"/>
              <w:bottom w:val="nil"/>
              <w:right w:val="nil"/>
            </w:tcBorders>
            <w:shd w:val="clear" w:color="000000" w:fill="FFFFFF"/>
            <w:noWrap/>
            <w:vAlign w:val="bottom"/>
            <w:hideMark/>
          </w:tcPr>
          <w:p w14:paraId="5AF809C3" w14:textId="118FD4AA"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0.05</w:t>
            </w:r>
            <w:r w:rsidR="00E146F0">
              <w:rPr>
                <w:rFonts w:eastAsia="Times New Roman" w:cstheme="minorHAnsi"/>
                <w:color w:val="000000"/>
                <w:sz w:val="20"/>
                <w:szCs w:val="20"/>
              </w:rPr>
              <w:t>3</w:t>
            </w:r>
            <w:r w:rsidRPr="000B1F26">
              <w:rPr>
                <w:rFonts w:eastAsia="Times New Roman" w:cstheme="minorHAnsi"/>
                <w:color w:val="000000"/>
                <w:sz w:val="20"/>
                <w:szCs w:val="20"/>
              </w:rPr>
              <w:t>**</w:t>
            </w:r>
          </w:p>
        </w:tc>
      </w:tr>
      <w:tr w:rsidR="00E146F0" w:rsidRPr="000B1F26" w14:paraId="26E8112D" w14:textId="77777777" w:rsidTr="00FC0391">
        <w:trPr>
          <w:trHeight w:val="290"/>
        </w:trPr>
        <w:tc>
          <w:tcPr>
            <w:tcW w:w="2969" w:type="dxa"/>
            <w:tcBorders>
              <w:top w:val="nil"/>
              <w:left w:val="nil"/>
              <w:bottom w:val="nil"/>
              <w:right w:val="nil"/>
            </w:tcBorders>
            <w:shd w:val="clear" w:color="000000" w:fill="FFFFFF"/>
            <w:noWrap/>
            <w:vAlign w:val="bottom"/>
            <w:hideMark/>
          </w:tcPr>
          <w:p w14:paraId="7E2B7597" w14:textId="08FD72DC"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(per 1000 popul.)</w:t>
            </w:r>
          </w:p>
        </w:tc>
        <w:tc>
          <w:tcPr>
            <w:tcW w:w="1072" w:type="dxa"/>
            <w:tcBorders>
              <w:top w:val="nil"/>
              <w:left w:val="nil"/>
              <w:bottom w:val="nil"/>
              <w:right w:val="nil"/>
            </w:tcBorders>
            <w:shd w:val="clear" w:color="000000" w:fill="FFFFFF"/>
            <w:noWrap/>
            <w:vAlign w:val="bottom"/>
            <w:hideMark/>
          </w:tcPr>
          <w:p w14:paraId="644B1CD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(0.82)</w:t>
            </w:r>
          </w:p>
        </w:tc>
        <w:tc>
          <w:tcPr>
            <w:tcW w:w="1033" w:type="dxa"/>
            <w:tcBorders>
              <w:top w:val="nil"/>
              <w:left w:val="nil"/>
              <w:bottom w:val="nil"/>
              <w:right w:val="nil"/>
            </w:tcBorders>
            <w:shd w:val="clear" w:color="000000" w:fill="FFFFFF"/>
            <w:noWrap/>
            <w:vAlign w:val="bottom"/>
            <w:hideMark/>
          </w:tcPr>
          <w:p w14:paraId="309D34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(0.37)</w:t>
            </w:r>
          </w:p>
        </w:tc>
        <w:tc>
          <w:tcPr>
            <w:tcW w:w="957" w:type="dxa"/>
            <w:tcBorders>
              <w:top w:val="nil"/>
              <w:left w:val="nil"/>
              <w:bottom w:val="nil"/>
              <w:right w:val="nil"/>
            </w:tcBorders>
            <w:shd w:val="clear" w:color="000000" w:fill="FFFFFF"/>
            <w:noWrap/>
            <w:vAlign w:val="bottom"/>
            <w:hideMark/>
          </w:tcPr>
          <w:p w14:paraId="19EA492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(0.63)</w:t>
            </w:r>
          </w:p>
        </w:tc>
        <w:tc>
          <w:tcPr>
            <w:tcW w:w="1072" w:type="dxa"/>
            <w:tcBorders>
              <w:top w:val="nil"/>
              <w:left w:val="nil"/>
              <w:bottom w:val="nil"/>
              <w:right w:val="nil"/>
            </w:tcBorders>
            <w:shd w:val="clear" w:color="000000" w:fill="FFFFFF"/>
            <w:noWrap/>
            <w:vAlign w:val="bottom"/>
            <w:hideMark/>
          </w:tcPr>
          <w:p w14:paraId="4C06199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(0.87)</w:t>
            </w:r>
          </w:p>
        </w:tc>
        <w:tc>
          <w:tcPr>
            <w:tcW w:w="1016" w:type="dxa"/>
            <w:tcBorders>
              <w:top w:val="nil"/>
              <w:left w:val="nil"/>
              <w:bottom w:val="nil"/>
              <w:right w:val="nil"/>
            </w:tcBorders>
            <w:shd w:val="clear" w:color="000000" w:fill="FFFFFF"/>
            <w:noWrap/>
            <w:vAlign w:val="bottom"/>
            <w:hideMark/>
          </w:tcPr>
          <w:p w14:paraId="2110925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(0.86)</w:t>
            </w:r>
          </w:p>
        </w:tc>
        <w:tc>
          <w:tcPr>
            <w:tcW w:w="928" w:type="dxa"/>
            <w:tcBorders>
              <w:top w:val="nil"/>
              <w:left w:val="nil"/>
              <w:bottom w:val="nil"/>
              <w:right w:val="nil"/>
            </w:tcBorders>
            <w:shd w:val="clear" w:color="000000" w:fill="FFFFFF"/>
            <w:noWrap/>
            <w:vAlign w:val="bottom"/>
            <w:hideMark/>
          </w:tcPr>
          <w:p w14:paraId="13CA0CD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(1.39)</w:t>
            </w:r>
          </w:p>
        </w:tc>
        <w:tc>
          <w:tcPr>
            <w:tcW w:w="1033" w:type="dxa"/>
            <w:tcBorders>
              <w:top w:val="nil"/>
              <w:left w:val="nil"/>
              <w:bottom w:val="nil"/>
              <w:right w:val="nil"/>
            </w:tcBorders>
            <w:shd w:val="clear" w:color="000000" w:fill="FFFFFF"/>
            <w:noWrap/>
            <w:vAlign w:val="bottom"/>
            <w:hideMark/>
          </w:tcPr>
          <w:p w14:paraId="495A43C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(2.09)</w:t>
            </w:r>
          </w:p>
        </w:tc>
      </w:tr>
      <w:tr w:rsidR="00E146F0" w:rsidRPr="000B1F26" w14:paraId="3717ADA8" w14:textId="77777777" w:rsidTr="00FC0391">
        <w:trPr>
          <w:trHeight w:val="290"/>
        </w:trPr>
        <w:tc>
          <w:tcPr>
            <w:tcW w:w="2969" w:type="dxa"/>
            <w:tcBorders>
              <w:top w:val="nil"/>
              <w:left w:val="nil"/>
              <w:bottom w:val="nil"/>
              <w:right w:val="nil"/>
            </w:tcBorders>
            <w:shd w:val="clear" w:color="000000" w:fill="FFFFFF"/>
            <w:noWrap/>
            <w:vAlign w:val="bottom"/>
            <w:hideMark/>
          </w:tcPr>
          <w:p w14:paraId="2FE7AEE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662EDA8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E81F60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AC8895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A48BE4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23B9233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10895C1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09D8C3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2624EA23" w14:textId="77777777" w:rsidTr="00FC0391">
        <w:trPr>
          <w:trHeight w:val="290"/>
        </w:trPr>
        <w:tc>
          <w:tcPr>
            <w:tcW w:w="2969" w:type="dxa"/>
            <w:tcBorders>
              <w:top w:val="nil"/>
              <w:left w:val="nil"/>
              <w:bottom w:val="nil"/>
              <w:right w:val="nil"/>
            </w:tcBorders>
            <w:shd w:val="clear" w:color="000000" w:fill="FFFFFF"/>
            <w:noWrap/>
            <w:vAlign w:val="bottom"/>
            <w:hideMark/>
          </w:tcPr>
          <w:p w14:paraId="226DE3EB" w14:textId="6DCA0003"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COVID deaths in 2020</w:t>
            </w:r>
          </w:p>
        </w:tc>
        <w:tc>
          <w:tcPr>
            <w:tcW w:w="1072" w:type="dxa"/>
            <w:tcBorders>
              <w:top w:val="nil"/>
              <w:left w:val="nil"/>
              <w:bottom w:val="nil"/>
              <w:right w:val="nil"/>
            </w:tcBorders>
            <w:shd w:val="clear" w:color="000000" w:fill="FFFFFF"/>
            <w:noWrap/>
            <w:vAlign w:val="bottom"/>
            <w:hideMark/>
          </w:tcPr>
          <w:p w14:paraId="6CCD842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-2.645***</w:t>
            </w:r>
          </w:p>
        </w:tc>
        <w:tc>
          <w:tcPr>
            <w:tcW w:w="1033" w:type="dxa"/>
            <w:tcBorders>
              <w:top w:val="nil"/>
              <w:left w:val="nil"/>
              <w:bottom w:val="nil"/>
              <w:right w:val="nil"/>
            </w:tcBorders>
            <w:shd w:val="clear" w:color="000000" w:fill="FFFFFF"/>
            <w:noWrap/>
            <w:vAlign w:val="bottom"/>
            <w:hideMark/>
          </w:tcPr>
          <w:p w14:paraId="2354184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-2.785**</w:t>
            </w:r>
          </w:p>
        </w:tc>
        <w:tc>
          <w:tcPr>
            <w:tcW w:w="957" w:type="dxa"/>
            <w:tcBorders>
              <w:top w:val="nil"/>
              <w:left w:val="nil"/>
              <w:bottom w:val="nil"/>
              <w:right w:val="nil"/>
            </w:tcBorders>
            <w:shd w:val="clear" w:color="000000" w:fill="FFFFFF"/>
            <w:noWrap/>
            <w:vAlign w:val="bottom"/>
            <w:hideMark/>
          </w:tcPr>
          <w:p w14:paraId="6C34072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-2.204</w:t>
            </w:r>
          </w:p>
        </w:tc>
        <w:tc>
          <w:tcPr>
            <w:tcW w:w="1072" w:type="dxa"/>
            <w:tcBorders>
              <w:top w:val="nil"/>
              <w:left w:val="nil"/>
              <w:bottom w:val="nil"/>
              <w:right w:val="nil"/>
            </w:tcBorders>
            <w:shd w:val="clear" w:color="000000" w:fill="FFFFFF"/>
            <w:noWrap/>
            <w:vAlign w:val="bottom"/>
            <w:hideMark/>
          </w:tcPr>
          <w:p w14:paraId="230429B5" w14:textId="26382B0B"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-2.55**</w:t>
            </w:r>
          </w:p>
        </w:tc>
        <w:tc>
          <w:tcPr>
            <w:tcW w:w="1016" w:type="dxa"/>
            <w:tcBorders>
              <w:top w:val="nil"/>
              <w:left w:val="nil"/>
              <w:bottom w:val="nil"/>
              <w:right w:val="nil"/>
            </w:tcBorders>
            <w:shd w:val="clear" w:color="000000" w:fill="FFFFFF"/>
            <w:noWrap/>
            <w:vAlign w:val="bottom"/>
            <w:hideMark/>
          </w:tcPr>
          <w:p w14:paraId="71C0CF01" w14:textId="55DE378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-2.66***</w:t>
            </w:r>
          </w:p>
        </w:tc>
        <w:tc>
          <w:tcPr>
            <w:tcW w:w="928" w:type="dxa"/>
            <w:tcBorders>
              <w:top w:val="nil"/>
              <w:left w:val="nil"/>
              <w:bottom w:val="nil"/>
              <w:right w:val="nil"/>
            </w:tcBorders>
            <w:shd w:val="clear" w:color="000000" w:fill="FFFFFF"/>
            <w:noWrap/>
            <w:vAlign w:val="bottom"/>
            <w:hideMark/>
          </w:tcPr>
          <w:p w14:paraId="0CD259CB" w14:textId="21D180CD"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w:t>
            </w:r>
            <w:r w:rsidR="00E146F0">
              <w:rPr>
                <w:rFonts w:eastAsia="Times New Roman" w:cstheme="minorHAnsi"/>
                <w:color w:val="000000"/>
                <w:sz w:val="20"/>
                <w:szCs w:val="20"/>
              </w:rPr>
              <w:t>80</w:t>
            </w:r>
            <w:r w:rsidRPr="000B1F26">
              <w:rPr>
                <w:rFonts w:eastAsia="Times New Roman" w:cstheme="minorHAnsi"/>
                <w:color w:val="000000"/>
                <w:sz w:val="20"/>
                <w:szCs w:val="20"/>
              </w:rPr>
              <w:t>**</w:t>
            </w:r>
          </w:p>
        </w:tc>
        <w:tc>
          <w:tcPr>
            <w:tcW w:w="1033" w:type="dxa"/>
            <w:tcBorders>
              <w:top w:val="nil"/>
              <w:left w:val="nil"/>
              <w:bottom w:val="nil"/>
              <w:right w:val="nil"/>
            </w:tcBorders>
            <w:shd w:val="clear" w:color="000000" w:fill="FFFFFF"/>
            <w:noWrap/>
            <w:vAlign w:val="bottom"/>
            <w:hideMark/>
          </w:tcPr>
          <w:p w14:paraId="7CCB811B" w14:textId="7D46F529"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-3.38***</w:t>
            </w:r>
          </w:p>
        </w:tc>
      </w:tr>
      <w:tr w:rsidR="00E146F0" w:rsidRPr="000B1F26" w14:paraId="6CEF7A60" w14:textId="77777777" w:rsidTr="00FC0391">
        <w:trPr>
          <w:trHeight w:val="290"/>
        </w:trPr>
        <w:tc>
          <w:tcPr>
            <w:tcW w:w="2969" w:type="dxa"/>
            <w:tcBorders>
              <w:top w:val="nil"/>
              <w:left w:val="nil"/>
              <w:bottom w:val="nil"/>
              <w:right w:val="nil"/>
            </w:tcBorders>
            <w:shd w:val="clear" w:color="000000" w:fill="FFFFFF"/>
            <w:noWrap/>
            <w:vAlign w:val="bottom"/>
            <w:hideMark/>
          </w:tcPr>
          <w:p w14:paraId="713707F8" w14:textId="427063F6"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Pr>
                <w:rFonts w:eastAsia="Times New Roman" w:cstheme="minorHAnsi"/>
                <w:color w:val="000000"/>
                <w:sz w:val="20"/>
                <w:szCs w:val="20"/>
              </w:rPr>
              <w:t>(</w:t>
            </w:r>
            <w:r w:rsidR="00E146F0" w:rsidRPr="000B1F26">
              <w:rPr>
                <w:rFonts w:eastAsia="Times New Roman" w:cstheme="minorHAnsi"/>
                <w:color w:val="000000"/>
                <w:sz w:val="20"/>
                <w:szCs w:val="20"/>
              </w:rPr>
              <w:t>per 1000 popul.)</w:t>
            </w:r>
          </w:p>
        </w:tc>
        <w:tc>
          <w:tcPr>
            <w:tcW w:w="1072" w:type="dxa"/>
            <w:tcBorders>
              <w:top w:val="nil"/>
              <w:left w:val="nil"/>
              <w:bottom w:val="nil"/>
              <w:right w:val="nil"/>
            </w:tcBorders>
            <w:shd w:val="clear" w:color="000000" w:fill="FFFFFF"/>
            <w:noWrap/>
            <w:vAlign w:val="bottom"/>
            <w:hideMark/>
          </w:tcPr>
          <w:p w14:paraId="6739AB5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(-2.63)</w:t>
            </w:r>
          </w:p>
        </w:tc>
        <w:tc>
          <w:tcPr>
            <w:tcW w:w="1033" w:type="dxa"/>
            <w:tcBorders>
              <w:top w:val="nil"/>
              <w:left w:val="nil"/>
              <w:bottom w:val="nil"/>
              <w:right w:val="nil"/>
            </w:tcBorders>
            <w:shd w:val="clear" w:color="000000" w:fill="FFFFFF"/>
            <w:noWrap/>
            <w:vAlign w:val="bottom"/>
            <w:hideMark/>
          </w:tcPr>
          <w:p w14:paraId="2A6EA7A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(-2.70)</w:t>
            </w:r>
          </w:p>
        </w:tc>
        <w:tc>
          <w:tcPr>
            <w:tcW w:w="957" w:type="dxa"/>
            <w:tcBorders>
              <w:top w:val="nil"/>
              <w:left w:val="nil"/>
              <w:bottom w:val="nil"/>
              <w:right w:val="nil"/>
            </w:tcBorders>
            <w:shd w:val="clear" w:color="000000" w:fill="FFFFFF"/>
            <w:noWrap/>
            <w:vAlign w:val="bottom"/>
            <w:hideMark/>
          </w:tcPr>
          <w:p w14:paraId="7221BDD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(-1.52)</w:t>
            </w:r>
          </w:p>
        </w:tc>
        <w:tc>
          <w:tcPr>
            <w:tcW w:w="1072" w:type="dxa"/>
            <w:tcBorders>
              <w:top w:val="nil"/>
              <w:left w:val="nil"/>
              <w:bottom w:val="nil"/>
              <w:right w:val="nil"/>
            </w:tcBorders>
            <w:shd w:val="clear" w:color="000000" w:fill="FFFFFF"/>
            <w:noWrap/>
            <w:vAlign w:val="bottom"/>
            <w:hideMark/>
          </w:tcPr>
          <w:p w14:paraId="137C4EE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(-2.60)</w:t>
            </w:r>
          </w:p>
        </w:tc>
        <w:tc>
          <w:tcPr>
            <w:tcW w:w="1016" w:type="dxa"/>
            <w:tcBorders>
              <w:top w:val="nil"/>
              <w:left w:val="nil"/>
              <w:bottom w:val="nil"/>
              <w:right w:val="nil"/>
            </w:tcBorders>
            <w:shd w:val="clear" w:color="000000" w:fill="FFFFFF"/>
            <w:noWrap/>
            <w:vAlign w:val="bottom"/>
            <w:hideMark/>
          </w:tcPr>
          <w:p w14:paraId="22EBA22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(-2.68)</w:t>
            </w:r>
          </w:p>
        </w:tc>
        <w:tc>
          <w:tcPr>
            <w:tcW w:w="928" w:type="dxa"/>
            <w:tcBorders>
              <w:top w:val="nil"/>
              <w:left w:val="nil"/>
              <w:bottom w:val="nil"/>
              <w:right w:val="nil"/>
            </w:tcBorders>
            <w:shd w:val="clear" w:color="000000" w:fill="FFFFFF"/>
            <w:noWrap/>
            <w:vAlign w:val="bottom"/>
            <w:hideMark/>
          </w:tcPr>
          <w:p w14:paraId="44B8686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(-2.40)</w:t>
            </w:r>
          </w:p>
        </w:tc>
        <w:tc>
          <w:tcPr>
            <w:tcW w:w="1033" w:type="dxa"/>
            <w:tcBorders>
              <w:top w:val="nil"/>
              <w:left w:val="nil"/>
              <w:bottom w:val="nil"/>
              <w:right w:val="nil"/>
            </w:tcBorders>
            <w:shd w:val="clear" w:color="000000" w:fill="FFFFFF"/>
            <w:noWrap/>
            <w:vAlign w:val="bottom"/>
            <w:hideMark/>
          </w:tcPr>
          <w:p w14:paraId="718A97D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(-3.58)</w:t>
            </w:r>
          </w:p>
        </w:tc>
      </w:tr>
      <w:tr w:rsidR="00E146F0" w:rsidRPr="000B1F26" w14:paraId="734358A1" w14:textId="77777777" w:rsidTr="00FC0391">
        <w:trPr>
          <w:trHeight w:val="290"/>
        </w:trPr>
        <w:tc>
          <w:tcPr>
            <w:tcW w:w="2969" w:type="dxa"/>
            <w:tcBorders>
              <w:top w:val="nil"/>
              <w:left w:val="nil"/>
              <w:bottom w:val="nil"/>
              <w:right w:val="nil"/>
            </w:tcBorders>
            <w:shd w:val="clear" w:color="000000" w:fill="FFFFFF"/>
            <w:noWrap/>
            <w:vAlign w:val="bottom"/>
            <w:hideMark/>
          </w:tcPr>
          <w:p w14:paraId="350DF453" w14:textId="487D41E0"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Oxford stringency index </w:t>
            </w:r>
          </w:p>
        </w:tc>
        <w:tc>
          <w:tcPr>
            <w:tcW w:w="1072" w:type="dxa"/>
            <w:tcBorders>
              <w:top w:val="nil"/>
              <w:left w:val="nil"/>
              <w:bottom w:val="nil"/>
              <w:right w:val="nil"/>
            </w:tcBorders>
            <w:shd w:val="clear" w:color="000000" w:fill="FFFFFF"/>
            <w:noWrap/>
            <w:vAlign w:val="bottom"/>
            <w:hideMark/>
          </w:tcPr>
          <w:p w14:paraId="7362E29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1033" w:type="dxa"/>
            <w:tcBorders>
              <w:top w:val="nil"/>
              <w:left w:val="nil"/>
              <w:bottom w:val="nil"/>
              <w:right w:val="nil"/>
            </w:tcBorders>
            <w:shd w:val="clear" w:color="000000" w:fill="FFFFFF"/>
            <w:noWrap/>
            <w:vAlign w:val="bottom"/>
            <w:hideMark/>
          </w:tcPr>
          <w:p w14:paraId="339C0E9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0.018</w:t>
            </w:r>
          </w:p>
        </w:tc>
        <w:tc>
          <w:tcPr>
            <w:tcW w:w="957" w:type="dxa"/>
            <w:tcBorders>
              <w:top w:val="nil"/>
              <w:left w:val="nil"/>
              <w:bottom w:val="nil"/>
              <w:right w:val="nil"/>
            </w:tcBorders>
            <w:shd w:val="clear" w:color="000000" w:fill="FFFFFF"/>
            <w:noWrap/>
            <w:vAlign w:val="bottom"/>
            <w:hideMark/>
          </w:tcPr>
          <w:p w14:paraId="04E9101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1072" w:type="dxa"/>
            <w:tcBorders>
              <w:top w:val="nil"/>
              <w:left w:val="nil"/>
              <w:bottom w:val="nil"/>
              <w:right w:val="nil"/>
            </w:tcBorders>
            <w:shd w:val="clear" w:color="000000" w:fill="FFFFFF"/>
            <w:noWrap/>
            <w:vAlign w:val="bottom"/>
            <w:hideMark/>
          </w:tcPr>
          <w:p w14:paraId="7C1A727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1016" w:type="dxa"/>
            <w:tcBorders>
              <w:top w:val="nil"/>
              <w:left w:val="nil"/>
              <w:bottom w:val="nil"/>
              <w:right w:val="nil"/>
            </w:tcBorders>
            <w:shd w:val="clear" w:color="000000" w:fill="FFFFFF"/>
            <w:noWrap/>
            <w:vAlign w:val="bottom"/>
            <w:hideMark/>
          </w:tcPr>
          <w:p w14:paraId="1DA6C0C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928" w:type="dxa"/>
            <w:tcBorders>
              <w:top w:val="nil"/>
              <w:left w:val="nil"/>
              <w:bottom w:val="nil"/>
              <w:right w:val="nil"/>
            </w:tcBorders>
            <w:shd w:val="clear" w:color="000000" w:fill="FFFFFF"/>
            <w:noWrap/>
            <w:vAlign w:val="bottom"/>
            <w:hideMark/>
          </w:tcPr>
          <w:p w14:paraId="213DB7D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1033" w:type="dxa"/>
            <w:tcBorders>
              <w:top w:val="nil"/>
              <w:left w:val="nil"/>
              <w:bottom w:val="nil"/>
              <w:right w:val="nil"/>
            </w:tcBorders>
            <w:shd w:val="clear" w:color="000000" w:fill="FFFFFF"/>
            <w:noWrap/>
            <w:vAlign w:val="bottom"/>
            <w:hideMark/>
          </w:tcPr>
          <w:p w14:paraId="57C31D2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-0.09***</w:t>
            </w:r>
          </w:p>
        </w:tc>
      </w:tr>
      <w:tr w:rsidR="00E146F0" w:rsidRPr="000B1F26" w14:paraId="0E858320" w14:textId="77777777" w:rsidTr="00FC0391">
        <w:trPr>
          <w:trHeight w:val="290"/>
        </w:trPr>
        <w:tc>
          <w:tcPr>
            <w:tcW w:w="2969" w:type="dxa"/>
            <w:tcBorders>
              <w:top w:val="nil"/>
              <w:left w:val="nil"/>
              <w:bottom w:val="nil"/>
              <w:right w:val="nil"/>
            </w:tcBorders>
            <w:shd w:val="clear" w:color="000000" w:fill="FFFFFF"/>
            <w:noWrap/>
            <w:vAlign w:val="bottom"/>
            <w:hideMark/>
          </w:tcPr>
          <w:p w14:paraId="79AC2068" w14:textId="0854FB55"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(average 2020)</w:t>
            </w:r>
          </w:p>
        </w:tc>
        <w:tc>
          <w:tcPr>
            <w:tcW w:w="1072" w:type="dxa"/>
            <w:tcBorders>
              <w:top w:val="nil"/>
              <w:left w:val="nil"/>
              <w:bottom w:val="nil"/>
              <w:right w:val="nil"/>
            </w:tcBorders>
            <w:shd w:val="clear" w:color="000000" w:fill="FFFFFF"/>
            <w:noWrap/>
            <w:vAlign w:val="bottom"/>
            <w:hideMark/>
          </w:tcPr>
          <w:p w14:paraId="5B6422C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(-4.14)</w:t>
            </w:r>
          </w:p>
        </w:tc>
        <w:tc>
          <w:tcPr>
            <w:tcW w:w="1033" w:type="dxa"/>
            <w:tcBorders>
              <w:top w:val="nil"/>
              <w:left w:val="nil"/>
              <w:bottom w:val="nil"/>
              <w:right w:val="nil"/>
            </w:tcBorders>
            <w:shd w:val="clear" w:color="000000" w:fill="FFFFFF"/>
            <w:noWrap/>
            <w:vAlign w:val="bottom"/>
            <w:hideMark/>
          </w:tcPr>
          <w:p w14:paraId="2B97F76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(0.48)</w:t>
            </w:r>
          </w:p>
        </w:tc>
        <w:tc>
          <w:tcPr>
            <w:tcW w:w="957" w:type="dxa"/>
            <w:tcBorders>
              <w:top w:val="nil"/>
              <w:left w:val="nil"/>
              <w:bottom w:val="nil"/>
              <w:right w:val="nil"/>
            </w:tcBorders>
            <w:shd w:val="clear" w:color="000000" w:fill="FFFFFF"/>
            <w:noWrap/>
            <w:vAlign w:val="bottom"/>
            <w:hideMark/>
          </w:tcPr>
          <w:p w14:paraId="7FFAF79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(-3.71)</w:t>
            </w:r>
          </w:p>
        </w:tc>
        <w:tc>
          <w:tcPr>
            <w:tcW w:w="1072" w:type="dxa"/>
            <w:tcBorders>
              <w:top w:val="nil"/>
              <w:left w:val="nil"/>
              <w:bottom w:val="nil"/>
              <w:right w:val="nil"/>
            </w:tcBorders>
            <w:shd w:val="clear" w:color="000000" w:fill="FFFFFF"/>
            <w:noWrap/>
            <w:vAlign w:val="bottom"/>
            <w:hideMark/>
          </w:tcPr>
          <w:p w14:paraId="59F95F8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(-4.19)</w:t>
            </w:r>
          </w:p>
        </w:tc>
        <w:tc>
          <w:tcPr>
            <w:tcW w:w="1016" w:type="dxa"/>
            <w:tcBorders>
              <w:top w:val="nil"/>
              <w:left w:val="nil"/>
              <w:bottom w:val="nil"/>
              <w:right w:val="nil"/>
            </w:tcBorders>
            <w:shd w:val="clear" w:color="000000" w:fill="FFFFFF"/>
            <w:noWrap/>
            <w:vAlign w:val="bottom"/>
            <w:hideMark/>
          </w:tcPr>
          <w:p w14:paraId="4ED1B73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(-4.15)</w:t>
            </w:r>
          </w:p>
        </w:tc>
        <w:tc>
          <w:tcPr>
            <w:tcW w:w="928" w:type="dxa"/>
            <w:tcBorders>
              <w:top w:val="nil"/>
              <w:left w:val="nil"/>
              <w:bottom w:val="nil"/>
              <w:right w:val="nil"/>
            </w:tcBorders>
            <w:shd w:val="clear" w:color="000000" w:fill="FFFFFF"/>
            <w:noWrap/>
            <w:vAlign w:val="bottom"/>
            <w:hideMark/>
          </w:tcPr>
          <w:p w14:paraId="5E6FCE7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(-4.68)</w:t>
            </w:r>
          </w:p>
        </w:tc>
        <w:tc>
          <w:tcPr>
            <w:tcW w:w="1033" w:type="dxa"/>
            <w:tcBorders>
              <w:top w:val="nil"/>
              <w:left w:val="nil"/>
              <w:bottom w:val="nil"/>
              <w:right w:val="nil"/>
            </w:tcBorders>
            <w:shd w:val="clear" w:color="000000" w:fill="FFFFFF"/>
            <w:noWrap/>
            <w:vAlign w:val="bottom"/>
            <w:hideMark/>
          </w:tcPr>
          <w:p w14:paraId="0251931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(-3.16)</w:t>
            </w:r>
          </w:p>
        </w:tc>
      </w:tr>
      <w:tr w:rsidR="00E146F0" w:rsidRPr="000B1F26" w14:paraId="03120AD6" w14:textId="77777777" w:rsidTr="00FC0391">
        <w:trPr>
          <w:trHeight w:val="290"/>
        </w:trPr>
        <w:tc>
          <w:tcPr>
            <w:tcW w:w="2969" w:type="dxa"/>
            <w:tcBorders>
              <w:top w:val="nil"/>
              <w:left w:val="nil"/>
              <w:bottom w:val="nil"/>
              <w:right w:val="nil"/>
            </w:tcBorders>
            <w:shd w:val="clear" w:color="000000" w:fill="FFFFFF"/>
            <w:noWrap/>
            <w:vAlign w:val="bottom"/>
            <w:hideMark/>
          </w:tcPr>
          <w:p w14:paraId="33040FF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DE516B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8A5A68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25F345E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0CE01E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7A2C5B0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12AD006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1F51AC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657EDC84" w14:textId="77777777" w:rsidTr="00FC0391">
        <w:trPr>
          <w:trHeight w:val="290"/>
        </w:trPr>
        <w:tc>
          <w:tcPr>
            <w:tcW w:w="2969" w:type="dxa"/>
            <w:tcBorders>
              <w:top w:val="nil"/>
              <w:left w:val="nil"/>
              <w:bottom w:val="nil"/>
              <w:right w:val="nil"/>
            </w:tcBorders>
            <w:shd w:val="clear" w:color="000000" w:fill="FFFFFF"/>
            <w:noWrap/>
            <w:vAlign w:val="bottom"/>
            <w:hideMark/>
          </w:tcPr>
          <w:p w14:paraId="6636577B" w14:textId="20D6FF21"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Tourism activity </w:t>
            </w:r>
          </w:p>
        </w:tc>
        <w:tc>
          <w:tcPr>
            <w:tcW w:w="1072" w:type="dxa"/>
            <w:tcBorders>
              <w:top w:val="nil"/>
              <w:left w:val="nil"/>
              <w:bottom w:val="nil"/>
              <w:right w:val="nil"/>
            </w:tcBorders>
            <w:shd w:val="clear" w:color="000000" w:fill="FFFFFF"/>
            <w:noWrap/>
            <w:vAlign w:val="bottom"/>
            <w:hideMark/>
          </w:tcPr>
          <w:p w14:paraId="4DC6FC2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-0.22***</w:t>
            </w:r>
          </w:p>
        </w:tc>
        <w:tc>
          <w:tcPr>
            <w:tcW w:w="1033" w:type="dxa"/>
            <w:tcBorders>
              <w:top w:val="nil"/>
              <w:left w:val="nil"/>
              <w:bottom w:val="nil"/>
              <w:right w:val="nil"/>
            </w:tcBorders>
            <w:shd w:val="clear" w:color="000000" w:fill="FFFFFF"/>
            <w:noWrap/>
            <w:vAlign w:val="bottom"/>
            <w:hideMark/>
          </w:tcPr>
          <w:p w14:paraId="65C529C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-0.29***</w:t>
            </w:r>
          </w:p>
        </w:tc>
        <w:tc>
          <w:tcPr>
            <w:tcW w:w="957" w:type="dxa"/>
            <w:tcBorders>
              <w:top w:val="nil"/>
              <w:left w:val="nil"/>
              <w:bottom w:val="nil"/>
              <w:right w:val="nil"/>
            </w:tcBorders>
            <w:shd w:val="clear" w:color="000000" w:fill="FFFFFF"/>
            <w:noWrap/>
            <w:vAlign w:val="bottom"/>
            <w:hideMark/>
          </w:tcPr>
          <w:p w14:paraId="57E1AD6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-0.20***</w:t>
            </w:r>
          </w:p>
        </w:tc>
        <w:tc>
          <w:tcPr>
            <w:tcW w:w="1072" w:type="dxa"/>
            <w:tcBorders>
              <w:top w:val="nil"/>
              <w:left w:val="nil"/>
              <w:bottom w:val="nil"/>
              <w:right w:val="nil"/>
            </w:tcBorders>
            <w:shd w:val="clear" w:color="000000" w:fill="FFFFFF"/>
            <w:noWrap/>
            <w:vAlign w:val="bottom"/>
            <w:hideMark/>
          </w:tcPr>
          <w:p w14:paraId="07C66C5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6237EFB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16F5429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5A074F6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04F3C41B" w14:textId="77777777" w:rsidTr="00FC0391">
        <w:trPr>
          <w:trHeight w:val="290"/>
        </w:trPr>
        <w:tc>
          <w:tcPr>
            <w:tcW w:w="2969" w:type="dxa"/>
            <w:tcBorders>
              <w:top w:val="nil"/>
              <w:left w:val="nil"/>
              <w:bottom w:val="nil"/>
              <w:right w:val="nil"/>
            </w:tcBorders>
            <w:shd w:val="clear" w:color="000000" w:fill="FFFFFF"/>
            <w:noWrap/>
            <w:vAlign w:val="bottom"/>
            <w:hideMark/>
          </w:tcPr>
          <w:p w14:paraId="4EDE9E93" w14:textId="71AE6A6F"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(total share of GDP)</w:t>
            </w:r>
          </w:p>
        </w:tc>
        <w:tc>
          <w:tcPr>
            <w:tcW w:w="1072" w:type="dxa"/>
            <w:tcBorders>
              <w:top w:val="nil"/>
              <w:left w:val="nil"/>
              <w:bottom w:val="nil"/>
              <w:right w:val="nil"/>
            </w:tcBorders>
            <w:shd w:val="clear" w:color="000000" w:fill="FFFFFF"/>
            <w:noWrap/>
            <w:vAlign w:val="bottom"/>
            <w:hideMark/>
          </w:tcPr>
          <w:p w14:paraId="4D76597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(-5.97)</w:t>
            </w:r>
          </w:p>
        </w:tc>
        <w:tc>
          <w:tcPr>
            <w:tcW w:w="1033" w:type="dxa"/>
            <w:tcBorders>
              <w:top w:val="nil"/>
              <w:left w:val="nil"/>
              <w:bottom w:val="nil"/>
              <w:right w:val="nil"/>
            </w:tcBorders>
            <w:shd w:val="clear" w:color="000000" w:fill="FFFFFF"/>
            <w:noWrap/>
            <w:vAlign w:val="bottom"/>
            <w:hideMark/>
          </w:tcPr>
          <w:p w14:paraId="505267C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(-6.85)</w:t>
            </w:r>
          </w:p>
        </w:tc>
        <w:tc>
          <w:tcPr>
            <w:tcW w:w="957" w:type="dxa"/>
            <w:tcBorders>
              <w:top w:val="nil"/>
              <w:left w:val="nil"/>
              <w:bottom w:val="nil"/>
              <w:right w:val="nil"/>
            </w:tcBorders>
            <w:shd w:val="clear" w:color="000000" w:fill="FFFFFF"/>
            <w:noWrap/>
            <w:vAlign w:val="bottom"/>
            <w:hideMark/>
          </w:tcPr>
          <w:p w14:paraId="0463C5F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(-4.83)</w:t>
            </w:r>
          </w:p>
        </w:tc>
        <w:tc>
          <w:tcPr>
            <w:tcW w:w="1072" w:type="dxa"/>
            <w:tcBorders>
              <w:top w:val="nil"/>
              <w:left w:val="nil"/>
              <w:bottom w:val="nil"/>
              <w:right w:val="nil"/>
            </w:tcBorders>
            <w:shd w:val="clear" w:color="000000" w:fill="FFFFFF"/>
            <w:noWrap/>
            <w:vAlign w:val="bottom"/>
            <w:hideMark/>
          </w:tcPr>
          <w:p w14:paraId="02AF311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15FAD8F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5362F3A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62AD9D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4BFD5FC6" w14:textId="77777777" w:rsidTr="00FC0391">
        <w:trPr>
          <w:trHeight w:val="290"/>
        </w:trPr>
        <w:tc>
          <w:tcPr>
            <w:tcW w:w="2969" w:type="dxa"/>
            <w:tcBorders>
              <w:top w:val="nil"/>
              <w:left w:val="nil"/>
              <w:bottom w:val="nil"/>
              <w:right w:val="nil"/>
            </w:tcBorders>
            <w:shd w:val="clear" w:color="000000" w:fill="FFFFFF"/>
            <w:noWrap/>
            <w:vAlign w:val="bottom"/>
            <w:hideMark/>
          </w:tcPr>
          <w:p w14:paraId="16B6FFB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57D33B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F36200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A7805A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797EF38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16522E0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69BDB40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DAFCAA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13C6C74E" w14:textId="77777777" w:rsidTr="00FC0391">
        <w:trPr>
          <w:trHeight w:val="290"/>
        </w:trPr>
        <w:tc>
          <w:tcPr>
            <w:tcW w:w="2969" w:type="dxa"/>
            <w:tcBorders>
              <w:top w:val="nil"/>
              <w:left w:val="nil"/>
              <w:bottom w:val="nil"/>
              <w:right w:val="nil"/>
            </w:tcBorders>
            <w:shd w:val="clear" w:color="000000" w:fill="FFFFFF"/>
            <w:noWrap/>
            <w:vAlign w:val="bottom"/>
            <w:hideMark/>
          </w:tcPr>
          <w:p w14:paraId="52500E3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log GDP per capita</w:t>
            </w:r>
          </w:p>
        </w:tc>
        <w:tc>
          <w:tcPr>
            <w:tcW w:w="1072" w:type="dxa"/>
            <w:tcBorders>
              <w:top w:val="nil"/>
              <w:left w:val="nil"/>
              <w:bottom w:val="nil"/>
              <w:right w:val="nil"/>
            </w:tcBorders>
            <w:shd w:val="clear" w:color="000000" w:fill="FFFFFF"/>
            <w:noWrap/>
            <w:vAlign w:val="bottom"/>
            <w:hideMark/>
          </w:tcPr>
          <w:p w14:paraId="643F15C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0.548</w:t>
            </w:r>
          </w:p>
        </w:tc>
        <w:tc>
          <w:tcPr>
            <w:tcW w:w="1033" w:type="dxa"/>
            <w:tcBorders>
              <w:top w:val="nil"/>
              <w:left w:val="nil"/>
              <w:bottom w:val="nil"/>
              <w:right w:val="nil"/>
            </w:tcBorders>
            <w:shd w:val="clear" w:color="000000" w:fill="FFFFFF"/>
            <w:noWrap/>
            <w:vAlign w:val="bottom"/>
            <w:hideMark/>
          </w:tcPr>
          <w:p w14:paraId="6334129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2.577***</w:t>
            </w:r>
          </w:p>
        </w:tc>
        <w:tc>
          <w:tcPr>
            <w:tcW w:w="957" w:type="dxa"/>
            <w:tcBorders>
              <w:top w:val="nil"/>
              <w:left w:val="nil"/>
              <w:bottom w:val="nil"/>
              <w:right w:val="nil"/>
            </w:tcBorders>
            <w:shd w:val="clear" w:color="000000" w:fill="FFFFFF"/>
            <w:noWrap/>
            <w:vAlign w:val="bottom"/>
            <w:hideMark/>
          </w:tcPr>
          <w:p w14:paraId="5FB92E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-0.193</w:t>
            </w:r>
          </w:p>
        </w:tc>
        <w:tc>
          <w:tcPr>
            <w:tcW w:w="1072" w:type="dxa"/>
            <w:tcBorders>
              <w:top w:val="nil"/>
              <w:left w:val="nil"/>
              <w:bottom w:val="nil"/>
              <w:right w:val="nil"/>
            </w:tcBorders>
            <w:shd w:val="clear" w:color="000000" w:fill="FFFFFF"/>
            <w:noWrap/>
            <w:vAlign w:val="bottom"/>
            <w:hideMark/>
          </w:tcPr>
          <w:p w14:paraId="5E30247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0.435</w:t>
            </w:r>
          </w:p>
        </w:tc>
        <w:tc>
          <w:tcPr>
            <w:tcW w:w="1016" w:type="dxa"/>
            <w:tcBorders>
              <w:top w:val="nil"/>
              <w:left w:val="nil"/>
              <w:bottom w:val="nil"/>
              <w:right w:val="nil"/>
            </w:tcBorders>
            <w:shd w:val="clear" w:color="000000" w:fill="FFFFFF"/>
            <w:noWrap/>
            <w:vAlign w:val="bottom"/>
            <w:hideMark/>
          </w:tcPr>
          <w:p w14:paraId="77F3D38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0.367</w:t>
            </w:r>
          </w:p>
        </w:tc>
        <w:tc>
          <w:tcPr>
            <w:tcW w:w="928" w:type="dxa"/>
            <w:tcBorders>
              <w:top w:val="nil"/>
              <w:left w:val="nil"/>
              <w:bottom w:val="nil"/>
              <w:right w:val="nil"/>
            </w:tcBorders>
            <w:shd w:val="clear" w:color="000000" w:fill="FFFFFF"/>
            <w:noWrap/>
            <w:vAlign w:val="bottom"/>
            <w:hideMark/>
          </w:tcPr>
          <w:p w14:paraId="6007BEC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0.363</w:t>
            </w:r>
          </w:p>
        </w:tc>
        <w:tc>
          <w:tcPr>
            <w:tcW w:w="1033" w:type="dxa"/>
            <w:tcBorders>
              <w:top w:val="nil"/>
              <w:left w:val="nil"/>
              <w:bottom w:val="nil"/>
              <w:right w:val="nil"/>
            </w:tcBorders>
            <w:shd w:val="clear" w:color="000000" w:fill="FFFFFF"/>
            <w:noWrap/>
            <w:vAlign w:val="bottom"/>
            <w:hideMark/>
          </w:tcPr>
          <w:p w14:paraId="242E001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0.610*</w:t>
            </w:r>
          </w:p>
        </w:tc>
      </w:tr>
      <w:tr w:rsidR="00E146F0" w:rsidRPr="000B1F26" w14:paraId="2E4D0CB6" w14:textId="77777777" w:rsidTr="00FC0391">
        <w:trPr>
          <w:trHeight w:val="290"/>
        </w:trPr>
        <w:tc>
          <w:tcPr>
            <w:tcW w:w="2969" w:type="dxa"/>
            <w:tcBorders>
              <w:top w:val="nil"/>
              <w:left w:val="nil"/>
              <w:bottom w:val="nil"/>
              <w:right w:val="nil"/>
            </w:tcBorders>
            <w:shd w:val="clear" w:color="000000" w:fill="FFFFFF"/>
            <w:noWrap/>
            <w:vAlign w:val="bottom"/>
            <w:hideMark/>
          </w:tcPr>
          <w:p w14:paraId="4BD8B75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53FEE47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(1.56)</w:t>
            </w:r>
          </w:p>
        </w:tc>
        <w:tc>
          <w:tcPr>
            <w:tcW w:w="1033" w:type="dxa"/>
            <w:tcBorders>
              <w:top w:val="nil"/>
              <w:left w:val="nil"/>
              <w:bottom w:val="nil"/>
              <w:right w:val="nil"/>
            </w:tcBorders>
            <w:shd w:val="clear" w:color="000000" w:fill="FFFFFF"/>
            <w:noWrap/>
            <w:vAlign w:val="bottom"/>
            <w:hideMark/>
          </w:tcPr>
          <w:p w14:paraId="749085B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(4.85)</w:t>
            </w:r>
          </w:p>
        </w:tc>
        <w:tc>
          <w:tcPr>
            <w:tcW w:w="957" w:type="dxa"/>
            <w:tcBorders>
              <w:top w:val="nil"/>
              <w:left w:val="nil"/>
              <w:bottom w:val="nil"/>
              <w:right w:val="nil"/>
            </w:tcBorders>
            <w:shd w:val="clear" w:color="000000" w:fill="FFFFFF"/>
            <w:noWrap/>
            <w:vAlign w:val="bottom"/>
            <w:hideMark/>
          </w:tcPr>
          <w:p w14:paraId="6766DCC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(-0.41)</w:t>
            </w:r>
          </w:p>
        </w:tc>
        <w:tc>
          <w:tcPr>
            <w:tcW w:w="1072" w:type="dxa"/>
            <w:tcBorders>
              <w:top w:val="nil"/>
              <w:left w:val="nil"/>
              <w:bottom w:val="nil"/>
              <w:right w:val="nil"/>
            </w:tcBorders>
            <w:shd w:val="clear" w:color="000000" w:fill="FFFFFF"/>
            <w:noWrap/>
            <w:vAlign w:val="bottom"/>
            <w:hideMark/>
          </w:tcPr>
          <w:p w14:paraId="70309EB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(1.26)</w:t>
            </w:r>
          </w:p>
        </w:tc>
        <w:tc>
          <w:tcPr>
            <w:tcW w:w="1016" w:type="dxa"/>
            <w:tcBorders>
              <w:top w:val="nil"/>
              <w:left w:val="nil"/>
              <w:bottom w:val="nil"/>
              <w:right w:val="nil"/>
            </w:tcBorders>
            <w:shd w:val="clear" w:color="000000" w:fill="FFFFFF"/>
            <w:noWrap/>
            <w:vAlign w:val="bottom"/>
            <w:hideMark/>
          </w:tcPr>
          <w:p w14:paraId="144616A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(1.06)</w:t>
            </w:r>
          </w:p>
        </w:tc>
        <w:tc>
          <w:tcPr>
            <w:tcW w:w="928" w:type="dxa"/>
            <w:tcBorders>
              <w:top w:val="nil"/>
              <w:left w:val="nil"/>
              <w:bottom w:val="nil"/>
              <w:right w:val="nil"/>
            </w:tcBorders>
            <w:shd w:val="clear" w:color="000000" w:fill="FFFFFF"/>
            <w:noWrap/>
            <w:vAlign w:val="bottom"/>
            <w:hideMark/>
          </w:tcPr>
          <w:p w14:paraId="5FDF801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(1.00)</w:t>
            </w:r>
          </w:p>
        </w:tc>
        <w:tc>
          <w:tcPr>
            <w:tcW w:w="1033" w:type="dxa"/>
            <w:tcBorders>
              <w:top w:val="nil"/>
              <w:left w:val="nil"/>
              <w:bottom w:val="nil"/>
              <w:right w:val="nil"/>
            </w:tcBorders>
            <w:shd w:val="clear" w:color="000000" w:fill="FFFFFF"/>
            <w:noWrap/>
            <w:vAlign w:val="bottom"/>
            <w:hideMark/>
          </w:tcPr>
          <w:p w14:paraId="1C4215D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(1.78)</w:t>
            </w:r>
          </w:p>
        </w:tc>
      </w:tr>
      <w:tr w:rsidR="00E146F0" w:rsidRPr="000B1F26" w14:paraId="70EF1DBF" w14:textId="77777777" w:rsidTr="00FC0391">
        <w:trPr>
          <w:trHeight w:val="290"/>
        </w:trPr>
        <w:tc>
          <w:tcPr>
            <w:tcW w:w="2969" w:type="dxa"/>
            <w:tcBorders>
              <w:top w:val="nil"/>
              <w:left w:val="nil"/>
              <w:bottom w:val="nil"/>
              <w:right w:val="nil"/>
            </w:tcBorders>
            <w:shd w:val="clear" w:color="000000" w:fill="FFFFFF"/>
            <w:noWrap/>
            <w:vAlign w:val="bottom"/>
            <w:hideMark/>
          </w:tcPr>
          <w:p w14:paraId="5CED64A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A3B3FE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6E0F1D3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54E1A05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6ED0710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4D8D3AC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3E152D0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4D6D309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6EB62F00" w14:textId="77777777" w:rsidTr="00FC0391">
        <w:trPr>
          <w:trHeight w:val="290"/>
        </w:trPr>
        <w:tc>
          <w:tcPr>
            <w:tcW w:w="2969" w:type="dxa"/>
            <w:tcBorders>
              <w:top w:val="nil"/>
              <w:left w:val="nil"/>
              <w:bottom w:val="nil"/>
              <w:right w:val="nil"/>
            </w:tcBorders>
            <w:shd w:val="clear" w:color="000000" w:fill="FFFFFF"/>
            <w:noWrap/>
            <w:vAlign w:val="bottom"/>
            <w:hideMark/>
          </w:tcPr>
          <w:p w14:paraId="20552E5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log population</w:t>
            </w:r>
          </w:p>
        </w:tc>
        <w:tc>
          <w:tcPr>
            <w:tcW w:w="1072" w:type="dxa"/>
            <w:tcBorders>
              <w:top w:val="nil"/>
              <w:left w:val="nil"/>
              <w:bottom w:val="nil"/>
              <w:right w:val="nil"/>
            </w:tcBorders>
            <w:shd w:val="clear" w:color="000000" w:fill="FFFFFF"/>
            <w:noWrap/>
            <w:vAlign w:val="bottom"/>
            <w:hideMark/>
          </w:tcPr>
          <w:p w14:paraId="7EE0509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0.304</w:t>
            </w:r>
          </w:p>
        </w:tc>
        <w:tc>
          <w:tcPr>
            <w:tcW w:w="1033" w:type="dxa"/>
            <w:tcBorders>
              <w:top w:val="nil"/>
              <w:left w:val="nil"/>
              <w:bottom w:val="nil"/>
              <w:right w:val="nil"/>
            </w:tcBorders>
            <w:shd w:val="clear" w:color="000000" w:fill="FFFFFF"/>
            <w:noWrap/>
            <w:vAlign w:val="bottom"/>
            <w:hideMark/>
          </w:tcPr>
          <w:p w14:paraId="7E7FC00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-0.435*</w:t>
            </w:r>
          </w:p>
        </w:tc>
        <w:tc>
          <w:tcPr>
            <w:tcW w:w="957" w:type="dxa"/>
            <w:tcBorders>
              <w:top w:val="nil"/>
              <w:left w:val="nil"/>
              <w:bottom w:val="nil"/>
              <w:right w:val="nil"/>
            </w:tcBorders>
            <w:shd w:val="clear" w:color="000000" w:fill="FFFFFF"/>
            <w:noWrap/>
            <w:vAlign w:val="bottom"/>
            <w:hideMark/>
          </w:tcPr>
          <w:p w14:paraId="05F61E5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0.379</w:t>
            </w:r>
          </w:p>
        </w:tc>
        <w:tc>
          <w:tcPr>
            <w:tcW w:w="1072" w:type="dxa"/>
            <w:tcBorders>
              <w:top w:val="nil"/>
              <w:left w:val="nil"/>
              <w:bottom w:val="nil"/>
              <w:right w:val="nil"/>
            </w:tcBorders>
            <w:shd w:val="clear" w:color="000000" w:fill="FFFFFF"/>
            <w:noWrap/>
            <w:vAlign w:val="bottom"/>
            <w:hideMark/>
          </w:tcPr>
          <w:p w14:paraId="4DF5BA3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0.363</w:t>
            </w:r>
          </w:p>
        </w:tc>
        <w:tc>
          <w:tcPr>
            <w:tcW w:w="1016" w:type="dxa"/>
            <w:tcBorders>
              <w:top w:val="nil"/>
              <w:left w:val="nil"/>
              <w:bottom w:val="nil"/>
              <w:right w:val="nil"/>
            </w:tcBorders>
            <w:shd w:val="clear" w:color="000000" w:fill="FFFFFF"/>
            <w:noWrap/>
            <w:vAlign w:val="bottom"/>
            <w:hideMark/>
          </w:tcPr>
          <w:p w14:paraId="66F5403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0.322</w:t>
            </w:r>
          </w:p>
        </w:tc>
        <w:tc>
          <w:tcPr>
            <w:tcW w:w="928" w:type="dxa"/>
            <w:tcBorders>
              <w:top w:val="nil"/>
              <w:left w:val="nil"/>
              <w:bottom w:val="nil"/>
              <w:right w:val="nil"/>
            </w:tcBorders>
            <w:shd w:val="clear" w:color="000000" w:fill="FFFFFF"/>
            <w:noWrap/>
            <w:vAlign w:val="bottom"/>
            <w:hideMark/>
          </w:tcPr>
          <w:p w14:paraId="69AE852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0.513**</w:t>
            </w:r>
          </w:p>
        </w:tc>
        <w:tc>
          <w:tcPr>
            <w:tcW w:w="1033" w:type="dxa"/>
            <w:tcBorders>
              <w:top w:val="nil"/>
              <w:left w:val="nil"/>
              <w:bottom w:val="nil"/>
              <w:right w:val="nil"/>
            </w:tcBorders>
            <w:shd w:val="clear" w:color="000000" w:fill="FFFFFF"/>
            <w:noWrap/>
            <w:vAlign w:val="bottom"/>
            <w:hideMark/>
          </w:tcPr>
          <w:p w14:paraId="67381CC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0.292</w:t>
            </w:r>
          </w:p>
        </w:tc>
      </w:tr>
      <w:tr w:rsidR="00E146F0" w:rsidRPr="000B1F26" w14:paraId="27601DEB" w14:textId="77777777" w:rsidTr="00FC0391">
        <w:trPr>
          <w:trHeight w:val="290"/>
        </w:trPr>
        <w:tc>
          <w:tcPr>
            <w:tcW w:w="2969" w:type="dxa"/>
            <w:tcBorders>
              <w:top w:val="nil"/>
              <w:left w:val="nil"/>
              <w:bottom w:val="nil"/>
              <w:right w:val="nil"/>
            </w:tcBorders>
            <w:shd w:val="clear" w:color="000000" w:fill="FFFFFF"/>
            <w:noWrap/>
            <w:vAlign w:val="bottom"/>
            <w:hideMark/>
          </w:tcPr>
          <w:p w14:paraId="5E36123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5B66256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(1.28)</w:t>
            </w:r>
          </w:p>
        </w:tc>
        <w:tc>
          <w:tcPr>
            <w:tcW w:w="1033" w:type="dxa"/>
            <w:tcBorders>
              <w:top w:val="nil"/>
              <w:left w:val="nil"/>
              <w:bottom w:val="nil"/>
              <w:right w:val="nil"/>
            </w:tcBorders>
            <w:shd w:val="clear" w:color="000000" w:fill="FFFFFF"/>
            <w:noWrap/>
            <w:vAlign w:val="bottom"/>
            <w:hideMark/>
          </w:tcPr>
          <w:p w14:paraId="78B563D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(-1.75)</w:t>
            </w:r>
          </w:p>
        </w:tc>
        <w:tc>
          <w:tcPr>
            <w:tcW w:w="957" w:type="dxa"/>
            <w:tcBorders>
              <w:top w:val="nil"/>
              <w:left w:val="nil"/>
              <w:bottom w:val="nil"/>
              <w:right w:val="nil"/>
            </w:tcBorders>
            <w:shd w:val="clear" w:color="000000" w:fill="FFFFFF"/>
            <w:noWrap/>
            <w:vAlign w:val="bottom"/>
            <w:hideMark/>
          </w:tcPr>
          <w:p w14:paraId="61C4FCC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(1.32)</w:t>
            </w:r>
          </w:p>
        </w:tc>
        <w:tc>
          <w:tcPr>
            <w:tcW w:w="1072" w:type="dxa"/>
            <w:tcBorders>
              <w:top w:val="nil"/>
              <w:left w:val="nil"/>
              <w:bottom w:val="nil"/>
              <w:right w:val="nil"/>
            </w:tcBorders>
            <w:shd w:val="clear" w:color="000000" w:fill="FFFFFF"/>
            <w:noWrap/>
            <w:vAlign w:val="bottom"/>
            <w:hideMark/>
          </w:tcPr>
          <w:p w14:paraId="5D2198D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(1.57)</w:t>
            </w:r>
          </w:p>
        </w:tc>
        <w:tc>
          <w:tcPr>
            <w:tcW w:w="1016" w:type="dxa"/>
            <w:tcBorders>
              <w:top w:val="nil"/>
              <w:left w:val="nil"/>
              <w:bottom w:val="nil"/>
              <w:right w:val="nil"/>
            </w:tcBorders>
            <w:shd w:val="clear" w:color="000000" w:fill="FFFFFF"/>
            <w:noWrap/>
            <w:vAlign w:val="bottom"/>
            <w:hideMark/>
          </w:tcPr>
          <w:p w14:paraId="6CF114F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(1.35)</w:t>
            </w:r>
          </w:p>
        </w:tc>
        <w:tc>
          <w:tcPr>
            <w:tcW w:w="928" w:type="dxa"/>
            <w:tcBorders>
              <w:top w:val="nil"/>
              <w:left w:val="nil"/>
              <w:bottom w:val="nil"/>
              <w:right w:val="nil"/>
            </w:tcBorders>
            <w:shd w:val="clear" w:color="000000" w:fill="FFFFFF"/>
            <w:noWrap/>
            <w:vAlign w:val="bottom"/>
            <w:hideMark/>
          </w:tcPr>
          <w:p w14:paraId="77BE560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(1.99)</w:t>
            </w:r>
          </w:p>
        </w:tc>
        <w:tc>
          <w:tcPr>
            <w:tcW w:w="1033" w:type="dxa"/>
            <w:tcBorders>
              <w:top w:val="nil"/>
              <w:left w:val="nil"/>
              <w:bottom w:val="nil"/>
              <w:right w:val="nil"/>
            </w:tcBorders>
            <w:shd w:val="clear" w:color="000000" w:fill="FFFFFF"/>
            <w:noWrap/>
            <w:vAlign w:val="bottom"/>
            <w:hideMark/>
          </w:tcPr>
          <w:p w14:paraId="5BF6D54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(1.44)</w:t>
            </w:r>
          </w:p>
        </w:tc>
      </w:tr>
      <w:tr w:rsidR="00E146F0" w:rsidRPr="000B1F26" w14:paraId="4B5F836D" w14:textId="77777777" w:rsidTr="00FC0391">
        <w:trPr>
          <w:trHeight w:val="290"/>
        </w:trPr>
        <w:tc>
          <w:tcPr>
            <w:tcW w:w="2969" w:type="dxa"/>
            <w:tcBorders>
              <w:top w:val="nil"/>
              <w:left w:val="nil"/>
              <w:bottom w:val="nil"/>
              <w:right w:val="nil"/>
            </w:tcBorders>
            <w:shd w:val="clear" w:color="000000" w:fill="FFFFFF"/>
            <w:noWrap/>
            <w:vAlign w:val="bottom"/>
            <w:hideMark/>
          </w:tcPr>
          <w:p w14:paraId="2D688B2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EAF154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3DD05B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7D4975E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63CD59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66DBD8F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1B1ED83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9598C1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108C3BAA" w14:textId="77777777" w:rsidTr="00FC0391">
        <w:trPr>
          <w:trHeight w:val="290"/>
        </w:trPr>
        <w:tc>
          <w:tcPr>
            <w:tcW w:w="2969" w:type="dxa"/>
            <w:tcBorders>
              <w:top w:val="nil"/>
              <w:left w:val="nil"/>
              <w:bottom w:val="nil"/>
              <w:right w:val="nil"/>
            </w:tcBorders>
            <w:shd w:val="clear" w:color="000000" w:fill="FFFFFF"/>
            <w:noWrap/>
            <w:vAlign w:val="bottom"/>
            <w:hideMark/>
          </w:tcPr>
          <w:p w14:paraId="2A41D43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VA share of agriculture (2014-19)</w:t>
            </w:r>
          </w:p>
        </w:tc>
        <w:tc>
          <w:tcPr>
            <w:tcW w:w="1072" w:type="dxa"/>
            <w:tcBorders>
              <w:top w:val="nil"/>
              <w:left w:val="nil"/>
              <w:bottom w:val="nil"/>
              <w:right w:val="nil"/>
            </w:tcBorders>
            <w:shd w:val="clear" w:color="000000" w:fill="FFFFFF"/>
            <w:noWrap/>
            <w:vAlign w:val="bottom"/>
            <w:hideMark/>
          </w:tcPr>
          <w:p w14:paraId="3A77709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0.0905*</w:t>
            </w:r>
          </w:p>
        </w:tc>
        <w:tc>
          <w:tcPr>
            <w:tcW w:w="1033" w:type="dxa"/>
            <w:tcBorders>
              <w:top w:val="nil"/>
              <w:left w:val="nil"/>
              <w:bottom w:val="nil"/>
              <w:right w:val="nil"/>
            </w:tcBorders>
            <w:shd w:val="clear" w:color="000000" w:fill="FFFFFF"/>
            <w:noWrap/>
            <w:vAlign w:val="bottom"/>
            <w:hideMark/>
          </w:tcPr>
          <w:p w14:paraId="132626B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0.645**</w:t>
            </w:r>
          </w:p>
        </w:tc>
        <w:tc>
          <w:tcPr>
            <w:tcW w:w="957" w:type="dxa"/>
            <w:tcBorders>
              <w:top w:val="nil"/>
              <w:left w:val="nil"/>
              <w:bottom w:val="nil"/>
              <w:right w:val="nil"/>
            </w:tcBorders>
            <w:shd w:val="clear" w:color="000000" w:fill="FFFFFF"/>
            <w:noWrap/>
            <w:vAlign w:val="bottom"/>
            <w:hideMark/>
          </w:tcPr>
          <w:p w14:paraId="39A7411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0.0555</w:t>
            </w:r>
          </w:p>
        </w:tc>
        <w:tc>
          <w:tcPr>
            <w:tcW w:w="1072" w:type="dxa"/>
            <w:tcBorders>
              <w:top w:val="nil"/>
              <w:left w:val="nil"/>
              <w:bottom w:val="nil"/>
              <w:right w:val="nil"/>
            </w:tcBorders>
            <w:shd w:val="clear" w:color="000000" w:fill="FFFFFF"/>
            <w:noWrap/>
            <w:vAlign w:val="bottom"/>
            <w:hideMark/>
          </w:tcPr>
          <w:p w14:paraId="60792C0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0.0909*</w:t>
            </w:r>
          </w:p>
        </w:tc>
        <w:tc>
          <w:tcPr>
            <w:tcW w:w="1016" w:type="dxa"/>
            <w:tcBorders>
              <w:top w:val="nil"/>
              <w:left w:val="nil"/>
              <w:bottom w:val="nil"/>
              <w:right w:val="nil"/>
            </w:tcBorders>
            <w:shd w:val="clear" w:color="000000" w:fill="FFFFFF"/>
            <w:noWrap/>
            <w:vAlign w:val="bottom"/>
            <w:hideMark/>
          </w:tcPr>
          <w:p w14:paraId="239B017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0.0869</w:t>
            </w:r>
          </w:p>
        </w:tc>
        <w:tc>
          <w:tcPr>
            <w:tcW w:w="928" w:type="dxa"/>
            <w:tcBorders>
              <w:top w:val="nil"/>
              <w:left w:val="nil"/>
              <w:bottom w:val="nil"/>
              <w:right w:val="nil"/>
            </w:tcBorders>
            <w:shd w:val="clear" w:color="000000" w:fill="FFFFFF"/>
            <w:noWrap/>
            <w:vAlign w:val="bottom"/>
            <w:hideMark/>
          </w:tcPr>
          <w:p w14:paraId="0C94859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0.0709</w:t>
            </w:r>
          </w:p>
        </w:tc>
        <w:tc>
          <w:tcPr>
            <w:tcW w:w="1033" w:type="dxa"/>
            <w:tcBorders>
              <w:top w:val="nil"/>
              <w:left w:val="nil"/>
              <w:bottom w:val="nil"/>
              <w:right w:val="nil"/>
            </w:tcBorders>
            <w:shd w:val="clear" w:color="000000" w:fill="FFFFFF"/>
            <w:noWrap/>
            <w:vAlign w:val="bottom"/>
            <w:hideMark/>
          </w:tcPr>
          <w:p w14:paraId="38D64E7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0.147***</w:t>
            </w:r>
          </w:p>
        </w:tc>
      </w:tr>
      <w:tr w:rsidR="00E146F0" w:rsidRPr="000B1F26" w14:paraId="7E9BA967" w14:textId="77777777" w:rsidTr="00FC0391">
        <w:trPr>
          <w:trHeight w:val="290"/>
        </w:trPr>
        <w:tc>
          <w:tcPr>
            <w:tcW w:w="2969" w:type="dxa"/>
            <w:tcBorders>
              <w:top w:val="nil"/>
              <w:left w:val="nil"/>
              <w:bottom w:val="nil"/>
              <w:right w:val="nil"/>
            </w:tcBorders>
            <w:shd w:val="clear" w:color="000000" w:fill="FFFFFF"/>
            <w:noWrap/>
            <w:vAlign w:val="bottom"/>
            <w:hideMark/>
          </w:tcPr>
          <w:p w14:paraId="6ED9B0D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061F7E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(1.69)</w:t>
            </w:r>
          </w:p>
        </w:tc>
        <w:tc>
          <w:tcPr>
            <w:tcW w:w="1033" w:type="dxa"/>
            <w:tcBorders>
              <w:top w:val="nil"/>
              <w:left w:val="nil"/>
              <w:bottom w:val="nil"/>
              <w:right w:val="nil"/>
            </w:tcBorders>
            <w:shd w:val="clear" w:color="000000" w:fill="FFFFFF"/>
            <w:noWrap/>
            <w:vAlign w:val="bottom"/>
            <w:hideMark/>
          </w:tcPr>
          <w:p w14:paraId="397043F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(2.73)</w:t>
            </w:r>
          </w:p>
        </w:tc>
        <w:tc>
          <w:tcPr>
            <w:tcW w:w="957" w:type="dxa"/>
            <w:tcBorders>
              <w:top w:val="nil"/>
              <w:left w:val="nil"/>
              <w:bottom w:val="nil"/>
              <w:right w:val="nil"/>
            </w:tcBorders>
            <w:shd w:val="clear" w:color="000000" w:fill="FFFFFF"/>
            <w:noWrap/>
            <w:vAlign w:val="bottom"/>
            <w:hideMark/>
          </w:tcPr>
          <w:p w14:paraId="22ED306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(1.06)</w:t>
            </w:r>
          </w:p>
        </w:tc>
        <w:tc>
          <w:tcPr>
            <w:tcW w:w="1072" w:type="dxa"/>
            <w:tcBorders>
              <w:top w:val="nil"/>
              <w:left w:val="nil"/>
              <w:bottom w:val="nil"/>
              <w:right w:val="nil"/>
            </w:tcBorders>
            <w:shd w:val="clear" w:color="000000" w:fill="FFFFFF"/>
            <w:noWrap/>
            <w:vAlign w:val="bottom"/>
            <w:hideMark/>
          </w:tcPr>
          <w:p w14:paraId="0066C40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(1.68)</w:t>
            </w:r>
          </w:p>
        </w:tc>
        <w:tc>
          <w:tcPr>
            <w:tcW w:w="1016" w:type="dxa"/>
            <w:tcBorders>
              <w:top w:val="nil"/>
              <w:left w:val="nil"/>
              <w:bottom w:val="nil"/>
              <w:right w:val="nil"/>
            </w:tcBorders>
            <w:shd w:val="clear" w:color="000000" w:fill="FFFFFF"/>
            <w:noWrap/>
            <w:vAlign w:val="bottom"/>
            <w:hideMark/>
          </w:tcPr>
          <w:p w14:paraId="017BD80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(1.57)</w:t>
            </w:r>
          </w:p>
        </w:tc>
        <w:tc>
          <w:tcPr>
            <w:tcW w:w="928" w:type="dxa"/>
            <w:tcBorders>
              <w:top w:val="nil"/>
              <w:left w:val="nil"/>
              <w:bottom w:val="nil"/>
              <w:right w:val="nil"/>
            </w:tcBorders>
            <w:shd w:val="clear" w:color="000000" w:fill="FFFFFF"/>
            <w:noWrap/>
            <w:vAlign w:val="bottom"/>
            <w:hideMark/>
          </w:tcPr>
          <w:p w14:paraId="071B4BF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(1.47)</w:t>
            </w:r>
          </w:p>
        </w:tc>
        <w:tc>
          <w:tcPr>
            <w:tcW w:w="1033" w:type="dxa"/>
            <w:tcBorders>
              <w:top w:val="nil"/>
              <w:left w:val="nil"/>
              <w:bottom w:val="nil"/>
              <w:right w:val="nil"/>
            </w:tcBorders>
            <w:shd w:val="clear" w:color="000000" w:fill="FFFFFF"/>
            <w:noWrap/>
            <w:vAlign w:val="bottom"/>
            <w:hideMark/>
          </w:tcPr>
          <w:p w14:paraId="3D3D957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(2.66)</w:t>
            </w:r>
          </w:p>
        </w:tc>
      </w:tr>
      <w:tr w:rsidR="00E146F0" w:rsidRPr="000B1F26" w14:paraId="531AD200" w14:textId="77777777" w:rsidTr="00FC0391">
        <w:trPr>
          <w:trHeight w:val="290"/>
        </w:trPr>
        <w:tc>
          <w:tcPr>
            <w:tcW w:w="2969" w:type="dxa"/>
            <w:tcBorders>
              <w:top w:val="nil"/>
              <w:left w:val="nil"/>
              <w:bottom w:val="nil"/>
              <w:right w:val="nil"/>
            </w:tcBorders>
            <w:shd w:val="clear" w:color="000000" w:fill="FFFFFF"/>
            <w:noWrap/>
            <w:vAlign w:val="bottom"/>
            <w:hideMark/>
          </w:tcPr>
          <w:p w14:paraId="34BED6F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848C59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3AD0731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69DB24C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71E925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0AE1590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0221C66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64C4205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29061DFC" w14:textId="77777777" w:rsidTr="00FC0391">
        <w:trPr>
          <w:trHeight w:val="290"/>
        </w:trPr>
        <w:tc>
          <w:tcPr>
            <w:tcW w:w="2969" w:type="dxa"/>
            <w:tcBorders>
              <w:top w:val="nil"/>
              <w:left w:val="nil"/>
              <w:bottom w:val="nil"/>
              <w:right w:val="nil"/>
            </w:tcBorders>
            <w:shd w:val="clear" w:color="000000" w:fill="FFFFFF"/>
            <w:noWrap/>
            <w:vAlign w:val="bottom"/>
            <w:hideMark/>
          </w:tcPr>
          <w:p w14:paraId="46F733A6" w14:textId="5D1439F8"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VA share of manufacturing </w:t>
            </w:r>
          </w:p>
        </w:tc>
        <w:tc>
          <w:tcPr>
            <w:tcW w:w="1072" w:type="dxa"/>
            <w:tcBorders>
              <w:top w:val="nil"/>
              <w:left w:val="nil"/>
              <w:bottom w:val="nil"/>
              <w:right w:val="nil"/>
            </w:tcBorders>
            <w:shd w:val="clear" w:color="000000" w:fill="FFFFFF"/>
            <w:noWrap/>
            <w:vAlign w:val="bottom"/>
            <w:hideMark/>
          </w:tcPr>
          <w:p w14:paraId="1485457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0.104**</w:t>
            </w:r>
          </w:p>
        </w:tc>
        <w:tc>
          <w:tcPr>
            <w:tcW w:w="1033" w:type="dxa"/>
            <w:tcBorders>
              <w:top w:val="nil"/>
              <w:left w:val="nil"/>
              <w:bottom w:val="nil"/>
              <w:right w:val="nil"/>
            </w:tcBorders>
            <w:shd w:val="clear" w:color="000000" w:fill="FFFFFF"/>
            <w:noWrap/>
            <w:vAlign w:val="bottom"/>
            <w:hideMark/>
          </w:tcPr>
          <w:p w14:paraId="57C7B29C" w14:textId="4C02640F"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0.091</w:t>
            </w:r>
          </w:p>
        </w:tc>
        <w:tc>
          <w:tcPr>
            <w:tcW w:w="957" w:type="dxa"/>
            <w:tcBorders>
              <w:top w:val="nil"/>
              <w:left w:val="nil"/>
              <w:bottom w:val="nil"/>
              <w:right w:val="nil"/>
            </w:tcBorders>
            <w:shd w:val="clear" w:color="000000" w:fill="FFFFFF"/>
            <w:noWrap/>
            <w:vAlign w:val="bottom"/>
            <w:hideMark/>
          </w:tcPr>
          <w:p w14:paraId="231C019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0.128**</w:t>
            </w:r>
          </w:p>
        </w:tc>
        <w:tc>
          <w:tcPr>
            <w:tcW w:w="1072" w:type="dxa"/>
            <w:tcBorders>
              <w:top w:val="nil"/>
              <w:left w:val="nil"/>
              <w:bottom w:val="nil"/>
              <w:right w:val="nil"/>
            </w:tcBorders>
            <w:shd w:val="clear" w:color="000000" w:fill="FFFFFF"/>
            <w:noWrap/>
            <w:vAlign w:val="bottom"/>
            <w:hideMark/>
          </w:tcPr>
          <w:p w14:paraId="0475951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0.113**</w:t>
            </w:r>
          </w:p>
        </w:tc>
        <w:tc>
          <w:tcPr>
            <w:tcW w:w="1016" w:type="dxa"/>
            <w:tcBorders>
              <w:top w:val="nil"/>
              <w:left w:val="nil"/>
              <w:bottom w:val="nil"/>
              <w:right w:val="nil"/>
            </w:tcBorders>
            <w:shd w:val="clear" w:color="000000" w:fill="FFFFFF"/>
            <w:noWrap/>
            <w:vAlign w:val="bottom"/>
            <w:hideMark/>
          </w:tcPr>
          <w:p w14:paraId="2DE52C4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0.119**</w:t>
            </w:r>
          </w:p>
        </w:tc>
        <w:tc>
          <w:tcPr>
            <w:tcW w:w="928" w:type="dxa"/>
            <w:tcBorders>
              <w:top w:val="nil"/>
              <w:left w:val="nil"/>
              <w:bottom w:val="nil"/>
              <w:right w:val="nil"/>
            </w:tcBorders>
            <w:shd w:val="clear" w:color="000000" w:fill="FFFFFF"/>
            <w:noWrap/>
            <w:vAlign w:val="bottom"/>
            <w:hideMark/>
          </w:tcPr>
          <w:p w14:paraId="4BE198D5" w14:textId="6A4DAD5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0.13**</w:t>
            </w:r>
          </w:p>
        </w:tc>
        <w:tc>
          <w:tcPr>
            <w:tcW w:w="1033" w:type="dxa"/>
            <w:tcBorders>
              <w:top w:val="nil"/>
              <w:left w:val="nil"/>
              <w:bottom w:val="nil"/>
              <w:right w:val="nil"/>
            </w:tcBorders>
            <w:shd w:val="clear" w:color="000000" w:fill="FFFFFF"/>
            <w:noWrap/>
            <w:vAlign w:val="bottom"/>
            <w:hideMark/>
          </w:tcPr>
          <w:p w14:paraId="28B0FDD2" w14:textId="3033BDBA"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w:t>
            </w:r>
            <w:r w:rsidR="00E146F0">
              <w:rPr>
                <w:rFonts w:eastAsia="Times New Roman" w:cstheme="minorHAnsi"/>
                <w:color w:val="000000"/>
                <w:sz w:val="20"/>
                <w:szCs w:val="20"/>
              </w:rPr>
              <w:t>7</w:t>
            </w:r>
            <w:r w:rsidRPr="000B1F26">
              <w:rPr>
                <w:rFonts w:eastAsia="Times New Roman" w:cstheme="minorHAnsi"/>
                <w:color w:val="000000"/>
                <w:sz w:val="20"/>
                <w:szCs w:val="20"/>
              </w:rPr>
              <w:t>***</w:t>
            </w:r>
          </w:p>
        </w:tc>
      </w:tr>
      <w:tr w:rsidR="00E146F0" w:rsidRPr="000B1F26" w14:paraId="28721702" w14:textId="77777777" w:rsidTr="00FC0391">
        <w:trPr>
          <w:trHeight w:val="290"/>
        </w:trPr>
        <w:tc>
          <w:tcPr>
            <w:tcW w:w="2969" w:type="dxa"/>
            <w:tcBorders>
              <w:top w:val="nil"/>
              <w:left w:val="nil"/>
              <w:bottom w:val="nil"/>
              <w:right w:val="nil"/>
            </w:tcBorders>
            <w:shd w:val="clear" w:color="000000" w:fill="FFFFFF"/>
            <w:noWrap/>
            <w:vAlign w:val="bottom"/>
            <w:hideMark/>
          </w:tcPr>
          <w:p w14:paraId="6AB904F7" w14:textId="12C564F9" w:rsidR="000B1F26" w:rsidRPr="000B1F26" w:rsidRDefault="00E146F0" w:rsidP="000B1F26">
            <w:pPr>
              <w:spacing w:after="0" w:line="240" w:lineRule="auto"/>
              <w:rPr>
                <w:rFonts w:eastAsia="Times New Roman" w:cstheme="minorHAnsi"/>
                <w:color w:val="000000"/>
                <w:sz w:val="20"/>
                <w:szCs w:val="20"/>
              </w:rPr>
            </w:pPr>
            <w:r>
              <w:rPr>
                <w:rFonts w:eastAsia="Times New Roman" w:cstheme="minorHAnsi"/>
                <w:color w:val="000000"/>
                <w:sz w:val="20"/>
                <w:szCs w:val="20"/>
              </w:rPr>
              <w:t>(</w:t>
            </w:r>
            <w:r w:rsidRPr="000B1F26">
              <w:rPr>
                <w:rFonts w:eastAsia="Times New Roman" w:cstheme="minorHAnsi"/>
                <w:color w:val="000000"/>
                <w:sz w:val="20"/>
                <w:szCs w:val="20"/>
              </w:rPr>
              <w:t>avg 2014-19)</w:t>
            </w:r>
          </w:p>
        </w:tc>
        <w:tc>
          <w:tcPr>
            <w:tcW w:w="1072" w:type="dxa"/>
            <w:tcBorders>
              <w:top w:val="nil"/>
              <w:left w:val="nil"/>
              <w:bottom w:val="nil"/>
              <w:right w:val="nil"/>
            </w:tcBorders>
            <w:shd w:val="clear" w:color="000000" w:fill="FFFFFF"/>
            <w:noWrap/>
            <w:vAlign w:val="bottom"/>
            <w:hideMark/>
          </w:tcPr>
          <w:p w14:paraId="57006F5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(2.10)</w:t>
            </w:r>
          </w:p>
        </w:tc>
        <w:tc>
          <w:tcPr>
            <w:tcW w:w="1033" w:type="dxa"/>
            <w:tcBorders>
              <w:top w:val="nil"/>
              <w:left w:val="nil"/>
              <w:bottom w:val="nil"/>
              <w:right w:val="nil"/>
            </w:tcBorders>
            <w:shd w:val="clear" w:color="000000" w:fill="FFFFFF"/>
            <w:noWrap/>
            <w:vAlign w:val="bottom"/>
            <w:hideMark/>
          </w:tcPr>
          <w:p w14:paraId="46BB4C5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(1.66)</w:t>
            </w:r>
          </w:p>
        </w:tc>
        <w:tc>
          <w:tcPr>
            <w:tcW w:w="957" w:type="dxa"/>
            <w:tcBorders>
              <w:top w:val="nil"/>
              <w:left w:val="nil"/>
              <w:bottom w:val="nil"/>
              <w:right w:val="nil"/>
            </w:tcBorders>
            <w:shd w:val="clear" w:color="000000" w:fill="FFFFFF"/>
            <w:noWrap/>
            <w:vAlign w:val="bottom"/>
            <w:hideMark/>
          </w:tcPr>
          <w:p w14:paraId="1A6D991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(2.29)</w:t>
            </w:r>
          </w:p>
        </w:tc>
        <w:tc>
          <w:tcPr>
            <w:tcW w:w="1072" w:type="dxa"/>
            <w:tcBorders>
              <w:top w:val="nil"/>
              <w:left w:val="nil"/>
              <w:bottom w:val="nil"/>
              <w:right w:val="nil"/>
            </w:tcBorders>
            <w:shd w:val="clear" w:color="000000" w:fill="FFFFFF"/>
            <w:noWrap/>
            <w:vAlign w:val="bottom"/>
            <w:hideMark/>
          </w:tcPr>
          <w:p w14:paraId="799743F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(2.35)</w:t>
            </w:r>
          </w:p>
        </w:tc>
        <w:tc>
          <w:tcPr>
            <w:tcW w:w="1016" w:type="dxa"/>
            <w:tcBorders>
              <w:top w:val="nil"/>
              <w:left w:val="nil"/>
              <w:bottom w:val="nil"/>
              <w:right w:val="nil"/>
            </w:tcBorders>
            <w:shd w:val="clear" w:color="000000" w:fill="FFFFFF"/>
            <w:noWrap/>
            <w:vAlign w:val="bottom"/>
            <w:hideMark/>
          </w:tcPr>
          <w:p w14:paraId="3B16A26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(2.42)</w:t>
            </w:r>
          </w:p>
        </w:tc>
        <w:tc>
          <w:tcPr>
            <w:tcW w:w="928" w:type="dxa"/>
            <w:tcBorders>
              <w:top w:val="nil"/>
              <w:left w:val="nil"/>
              <w:bottom w:val="nil"/>
              <w:right w:val="nil"/>
            </w:tcBorders>
            <w:shd w:val="clear" w:color="000000" w:fill="FFFFFF"/>
            <w:noWrap/>
            <w:vAlign w:val="bottom"/>
            <w:hideMark/>
          </w:tcPr>
          <w:p w14:paraId="6E60730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(2.62)</w:t>
            </w:r>
          </w:p>
        </w:tc>
        <w:tc>
          <w:tcPr>
            <w:tcW w:w="1033" w:type="dxa"/>
            <w:tcBorders>
              <w:top w:val="nil"/>
              <w:left w:val="nil"/>
              <w:bottom w:val="nil"/>
              <w:right w:val="nil"/>
            </w:tcBorders>
            <w:shd w:val="clear" w:color="000000" w:fill="FFFFFF"/>
            <w:noWrap/>
            <w:vAlign w:val="bottom"/>
            <w:hideMark/>
          </w:tcPr>
          <w:p w14:paraId="05299CD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(3.35)</w:t>
            </w:r>
          </w:p>
        </w:tc>
      </w:tr>
      <w:tr w:rsidR="00E146F0" w:rsidRPr="000B1F26" w14:paraId="6DC576E8" w14:textId="77777777" w:rsidTr="00FC0391">
        <w:trPr>
          <w:trHeight w:val="290"/>
        </w:trPr>
        <w:tc>
          <w:tcPr>
            <w:tcW w:w="2969" w:type="dxa"/>
            <w:tcBorders>
              <w:top w:val="nil"/>
              <w:left w:val="nil"/>
              <w:bottom w:val="nil"/>
              <w:right w:val="nil"/>
            </w:tcBorders>
            <w:shd w:val="clear" w:color="000000" w:fill="FFFFFF"/>
            <w:noWrap/>
            <w:vAlign w:val="bottom"/>
            <w:hideMark/>
          </w:tcPr>
          <w:p w14:paraId="3BE95EB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2E3C57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771BFD8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07DB5D2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591518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32F0550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48FB740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719EA24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57BC3839" w14:textId="77777777" w:rsidTr="00FC0391">
        <w:trPr>
          <w:trHeight w:val="290"/>
        </w:trPr>
        <w:tc>
          <w:tcPr>
            <w:tcW w:w="2969" w:type="dxa"/>
            <w:tcBorders>
              <w:top w:val="nil"/>
              <w:left w:val="nil"/>
              <w:bottom w:val="nil"/>
              <w:right w:val="nil"/>
            </w:tcBorders>
            <w:shd w:val="clear" w:color="000000" w:fill="FFFFFF"/>
            <w:noWrap/>
            <w:vAlign w:val="bottom"/>
            <w:hideMark/>
          </w:tcPr>
          <w:p w14:paraId="4B6F83C3" w14:textId="4D97995C"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Tourism activity </w:t>
            </w:r>
          </w:p>
        </w:tc>
        <w:tc>
          <w:tcPr>
            <w:tcW w:w="1072" w:type="dxa"/>
            <w:tcBorders>
              <w:top w:val="nil"/>
              <w:left w:val="nil"/>
              <w:bottom w:val="nil"/>
              <w:right w:val="nil"/>
            </w:tcBorders>
            <w:shd w:val="clear" w:color="000000" w:fill="FFFFFF"/>
            <w:noWrap/>
            <w:vAlign w:val="bottom"/>
            <w:hideMark/>
          </w:tcPr>
          <w:p w14:paraId="101EB5D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531F4F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688E3EC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40B3CD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-0.54***</w:t>
            </w:r>
          </w:p>
        </w:tc>
        <w:tc>
          <w:tcPr>
            <w:tcW w:w="1016" w:type="dxa"/>
            <w:tcBorders>
              <w:top w:val="nil"/>
              <w:left w:val="nil"/>
              <w:bottom w:val="nil"/>
              <w:right w:val="nil"/>
            </w:tcBorders>
            <w:shd w:val="clear" w:color="000000" w:fill="FFFFFF"/>
            <w:noWrap/>
            <w:vAlign w:val="bottom"/>
            <w:hideMark/>
          </w:tcPr>
          <w:p w14:paraId="2E2A218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-0.53***</w:t>
            </w:r>
          </w:p>
        </w:tc>
        <w:tc>
          <w:tcPr>
            <w:tcW w:w="928" w:type="dxa"/>
            <w:tcBorders>
              <w:top w:val="nil"/>
              <w:left w:val="nil"/>
              <w:bottom w:val="nil"/>
              <w:right w:val="nil"/>
            </w:tcBorders>
            <w:shd w:val="clear" w:color="000000" w:fill="FFFFFF"/>
            <w:noWrap/>
            <w:vAlign w:val="bottom"/>
            <w:hideMark/>
          </w:tcPr>
          <w:p w14:paraId="215529F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-0.32</w:t>
            </w:r>
          </w:p>
        </w:tc>
        <w:tc>
          <w:tcPr>
            <w:tcW w:w="1033" w:type="dxa"/>
            <w:tcBorders>
              <w:top w:val="nil"/>
              <w:left w:val="nil"/>
              <w:bottom w:val="nil"/>
              <w:right w:val="nil"/>
            </w:tcBorders>
            <w:shd w:val="clear" w:color="000000" w:fill="FFFFFF"/>
            <w:noWrap/>
            <w:vAlign w:val="bottom"/>
            <w:hideMark/>
          </w:tcPr>
          <w:p w14:paraId="5B36934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3CF34602" w14:textId="77777777" w:rsidTr="00FC0391">
        <w:trPr>
          <w:trHeight w:val="290"/>
        </w:trPr>
        <w:tc>
          <w:tcPr>
            <w:tcW w:w="2969" w:type="dxa"/>
            <w:tcBorders>
              <w:top w:val="nil"/>
              <w:left w:val="nil"/>
              <w:bottom w:val="nil"/>
              <w:right w:val="nil"/>
            </w:tcBorders>
            <w:shd w:val="clear" w:color="000000" w:fill="FFFFFF"/>
            <w:noWrap/>
            <w:vAlign w:val="bottom"/>
            <w:hideMark/>
          </w:tcPr>
          <w:p w14:paraId="6AC5B61A" w14:textId="4BE34EAA"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(direct share of GDP)</w:t>
            </w:r>
          </w:p>
        </w:tc>
        <w:tc>
          <w:tcPr>
            <w:tcW w:w="1072" w:type="dxa"/>
            <w:tcBorders>
              <w:top w:val="nil"/>
              <w:left w:val="nil"/>
              <w:bottom w:val="nil"/>
              <w:right w:val="nil"/>
            </w:tcBorders>
            <w:shd w:val="clear" w:color="000000" w:fill="FFFFFF"/>
            <w:noWrap/>
            <w:vAlign w:val="bottom"/>
            <w:hideMark/>
          </w:tcPr>
          <w:p w14:paraId="3DE7E3A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415603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31858E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817374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(-6.32)</w:t>
            </w:r>
          </w:p>
        </w:tc>
        <w:tc>
          <w:tcPr>
            <w:tcW w:w="1016" w:type="dxa"/>
            <w:tcBorders>
              <w:top w:val="nil"/>
              <w:left w:val="nil"/>
              <w:bottom w:val="nil"/>
              <w:right w:val="nil"/>
            </w:tcBorders>
            <w:shd w:val="clear" w:color="000000" w:fill="FFFFFF"/>
            <w:noWrap/>
            <w:vAlign w:val="bottom"/>
            <w:hideMark/>
          </w:tcPr>
          <w:p w14:paraId="4DAFD8A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(-3.08)</w:t>
            </w:r>
          </w:p>
        </w:tc>
        <w:tc>
          <w:tcPr>
            <w:tcW w:w="928" w:type="dxa"/>
            <w:tcBorders>
              <w:top w:val="nil"/>
              <w:left w:val="nil"/>
              <w:bottom w:val="nil"/>
              <w:right w:val="nil"/>
            </w:tcBorders>
            <w:shd w:val="clear" w:color="000000" w:fill="FFFFFF"/>
            <w:noWrap/>
            <w:vAlign w:val="bottom"/>
            <w:hideMark/>
          </w:tcPr>
          <w:p w14:paraId="6E17A4A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(-1.26)</w:t>
            </w:r>
          </w:p>
        </w:tc>
        <w:tc>
          <w:tcPr>
            <w:tcW w:w="1033" w:type="dxa"/>
            <w:tcBorders>
              <w:top w:val="nil"/>
              <w:left w:val="nil"/>
              <w:bottom w:val="nil"/>
              <w:right w:val="nil"/>
            </w:tcBorders>
            <w:shd w:val="clear" w:color="000000" w:fill="FFFFFF"/>
            <w:noWrap/>
            <w:vAlign w:val="bottom"/>
            <w:hideMark/>
          </w:tcPr>
          <w:p w14:paraId="1C13C18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FC0391" w:rsidRPr="000B1F26" w14:paraId="4175352C" w14:textId="77777777" w:rsidTr="00FC0391">
        <w:trPr>
          <w:trHeight w:val="290"/>
        </w:trPr>
        <w:tc>
          <w:tcPr>
            <w:tcW w:w="4041" w:type="dxa"/>
            <w:gridSpan w:val="2"/>
            <w:tcBorders>
              <w:top w:val="nil"/>
              <w:left w:val="nil"/>
              <w:bottom w:val="nil"/>
              <w:right w:val="nil"/>
            </w:tcBorders>
            <w:shd w:val="clear" w:color="000000" w:fill="FFFFFF"/>
            <w:noWrap/>
            <w:vAlign w:val="bottom"/>
          </w:tcPr>
          <w:p w14:paraId="6FFF779D" w14:textId="77777777" w:rsidR="00FC0391" w:rsidRPr="000B1F26" w:rsidRDefault="00FC0391" w:rsidP="000B1F26">
            <w:pPr>
              <w:spacing w:after="0" w:line="240" w:lineRule="auto"/>
              <w:rPr>
                <w:rFonts w:eastAsia="Times New Roman" w:cstheme="minorHAnsi"/>
                <w:color w:val="000000"/>
                <w:sz w:val="20"/>
                <w:szCs w:val="20"/>
              </w:rPr>
            </w:pPr>
          </w:p>
        </w:tc>
        <w:tc>
          <w:tcPr>
            <w:tcW w:w="1033" w:type="dxa"/>
            <w:tcBorders>
              <w:top w:val="nil"/>
              <w:left w:val="nil"/>
              <w:bottom w:val="nil"/>
              <w:right w:val="nil"/>
            </w:tcBorders>
            <w:shd w:val="clear" w:color="000000" w:fill="FFFFFF"/>
            <w:noWrap/>
            <w:vAlign w:val="bottom"/>
          </w:tcPr>
          <w:p w14:paraId="369CB520" w14:textId="77777777" w:rsidR="00FC0391" w:rsidRPr="000B1F26" w:rsidRDefault="00FC0391" w:rsidP="000B1F26">
            <w:pPr>
              <w:spacing w:after="0" w:line="240" w:lineRule="auto"/>
              <w:rPr>
                <w:rFonts w:eastAsia="Times New Roman" w:cstheme="minorHAnsi"/>
                <w:color w:val="000000"/>
                <w:sz w:val="20"/>
                <w:szCs w:val="20"/>
              </w:rPr>
            </w:pPr>
          </w:p>
        </w:tc>
        <w:tc>
          <w:tcPr>
            <w:tcW w:w="957" w:type="dxa"/>
            <w:tcBorders>
              <w:top w:val="nil"/>
              <w:left w:val="nil"/>
              <w:bottom w:val="nil"/>
              <w:right w:val="nil"/>
            </w:tcBorders>
            <w:shd w:val="clear" w:color="000000" w:fill="FFFFFF"/>
            <w:noWrap/>
            <w:vAlign w:val="bottom"/>
          </w:tcPr>
          <w:p w14:paraId="34DD6677" w14:textId="77777777" w:rsidR="00FC0391" w:rsidRPr="000B1F26" w:rsidRDefault="00FC0391" w:rsidP="000B1F26">
            <w:pPr>
              <w:spacing w:after="0" w:line="240" w:lineRule="auto"/>
              <w:rPr>
                <w:rFonts w:eastAsia="Times New Roman" w:cstheme="minorHAnsi"/>
                <w:color w:val="000000"/>
                <w:sz w:val="20"/>
                <w:szCs w:val="20"/>
              </w:rPr>
            </w:pPr>
          </w:p>
        </w:tc>
        <w:tc>
          <w:tcPr>
            <w:tcW w:w="1072" w:type="dxa"/>
            <w:tcBorders>
              <w:top w:val="nil"/>
              <w:left w:val="nil"/>
              <w:bottom w:val="nil"/>
              <w:right w:val="nil"/>
            </w:tcBorders>
            <w:shd w:val="clear" w:color="000000" w:fill="FFFFFF"/>
            <w:noWrap/>
            <w:vAlign w:val="bottom"/>
          </w:tcPr>
          <w:p w14:paraId="2CB0B4E7" w14:textId="77777777" w:rsidR="00FC0391" w:rsidRPr="000B1F26" w:rsidRDefault="00FC0391" w:rsidP="000B1F26">
            <w:pPr>
              <w:spacing w:after="0" w:line="240" w:lineRule="auto"/>
              <w:rPr>
                <w:rFonts w:eastAsia="Times New Roman" w:cstheme="minorHAnsi"/>
                <w:color w:val="000000"/>
                <w:sz w:val="20"/>
                <w:szCs w:val="20"/>
              </w:rPr>
            </w:pPr>
          </w:p>
        </w:tc>
        <w:tc>
          <w:tcPr>
            <w:tcW w:w="1016" w:type="dxa"/>
            <w:tcBorders>
              <w:top w:val="nil"/>
              <w:left w:val="nil"/>
              <w:bottom w:val="nil"/>
              <w:right w:val="nil"/>
            </w:tcBorders>
            <w:shd w:val="clear" w:color="000000" w:fill="FFFFFF"/>
            <w:noWrap/>
            <w:vAlign w:val="bottom"/>
          </w:tcPr>
          <w:p w14:paraId="1218DB50" w14:textId="77777777" w:rsidR="00FC0391" w:rsidRPr="000B1F26" w:rsidRDefault="00FC0391" w:rsidP="000B1F26">
            <w:pPr>
              <w:spacing w:after="0" w:line="240" w:lineRule="auto"/>
              <w:rPr>
                <w:rFonts w:eastAsia="Times New Roman" w:cstheme="minorHAnsi"/>
                <w:color w:val="000000"/>
                <w:sz w:val="20"/>
                <w:szCs w:val="20"/>
              </w:rPr>
            </w:pPr>
          </w:p>
        </w:tc>
        <w:tc>
          <w:tcPr>
            <w:tcW w:w="928" w:type="dxa"/>
            <w:tcBorders>
              <w:top w:val="nil"/>
              <w:left w:val="nil"/>
              <w:bottom w:val="nil"/>
              <w:right w:val="nil"/>
            </w:tcBorders>
            <w:shd w:val="clear" w:color="000000" w:fill="FFFFFF"/>
            <w:noWrap/>
            <w:vAlign w:val="bottom"/>
          </w:tcPr>
          <w:p w14:paraId="5EA233EC" w14:textId="77777777" w:rsidR="00FC0391" w:rsidRPr="000B1F26" w:rsidRDefault="00FC0391" w:rsidP="000B1F26">
            <w:pPr>
              <w:spacing w:after="0" w:line="240" w:lineRule="auto"/>
              <w:rPr>
                <w:rFonts w:eastAsia="Times New Roman" w:cstheme="minorHAnsi"/>
                <w:color w:val="000000"/>
                <w:sz w:val="20"/>
                <w:szCs w:val="20"/>
              </w:rPr>
            </w:pPr>
          </w:p>
        </w:tc>
        <w:tc>
          <w:tcPr>
            <w:tcW w:w="1033" w:type="dxa"/>
            <w:tcBorders>
              <w:top w:val="nil"/>
              <w:left w:val="nil"/>
              <w:bottom w:val="nil"/>
              <w:right w:val="nil"/>
            </w:tcBorders>
            <w:shd w:val="clear" w:color="000000" w:fill="FFFFFF"/>
            <w:noWrap/>
            <w:vAlign w:val="bottom"/>
          </w:tcPr>
          <w:p w14:paraId="0FAED6DA" w14:textId="77777777" w:rsidR="00FC0391" w:rsidRPr="000B1F26" w:rsidRDefault="00FC0391" w:rsidP="000B1F26">
            <w:pPr>
              <w:spacing w:after="0" w:line="240" w:lineRule="auto"/>
              <w:rPr>
                <w:rFonts w:eastAsia="Times New Roman" w:cstheme="minorHAnsi"/>
                <w:color w:val="000000"/>
                <w:sz w:val="20"/>
                <w:szCs w:val="20"/>
              </w:rPr>
            </w:pPr>
          </w:p>
        </w:tc>
      </w:tr>
      <w:tr w:rsidR="00E146F0" w:rsidRPr="000B1F26" w14:paraId="4EBF219B" w14:textId="77777777" w:rsidTr="00FC0391">
        <w:trPr>
          <w:trHeight w:val="290"/>
        </w:trPr>
        <w:tc>
          <w:tcPr>
            <w:tcW w:w="4041" w:type="dxa"/>
            <w:gridSpan w:val="2"/>
            <w:tcBorders>
              <w:top w:val="nil"/>
              <w:left w:val="nil"/>
              <w:bottom w:val="nil"/>
              <w:right w:val="nil"/>
            </w:tcBorders>
            <w:shd w:val="clear" w:color="000000" w:fill="FFFFFF"/>
            <w:noWrap/>
            <w:vAlign w:val="bottom"/>
            <w:hideMark/>
          </w:tcPr>
          <w:p w14:paraId="17F1E17A" w14:textId="2E38EAF2"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Net revenues from int. travel</w:t>
            </w:r>
          </w:p>
        </w:tc>
        <w:tc>
          <w:tcPr>
            <w:tcW w:w="1033" w:type="dxa"/>
            <w:tcBorders>
              <w:top w:val="nil"/>
              <w:left w:val="nil"/>
              <w:bottom w:val="nil"/>
              <w:right w:val="nil"/>
            </w:tcBorders>
            <w:shd w:val="clear" w:color="000000" w:fill="FFFFFF"/>
            <w:noWrap/>
            <w:vAlign w:val="bottom"/>
            <w:hideMark/>
          </w:tcPr>
          <w:p w14:paraId="3563BF5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EAF508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6B13D8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4892793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3641725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7CC96B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-0.237***</w:t>
            </w:r>
          </w:p>
        </w:tc>
      </w:tr>
      <w:tr w:rsidR="00E146F0" w:rsidRPr="000B1F26" w14:paraId="38CC4C9A" w14:textId="77777777" w:rsidTr="00FC0391">
        <w:trPr>
          <w:trHeight w:val="290"/>
        </w:trPr>
        <w:tc>
          <w:tcPr>
            <w:tcW w:w="2969" w:type="dxa"/>
            <w:tcBorders>
              <w:top w:val="nil"/>
              <w:left w:val="nil"/>
              <w:bottom w:val="nil"/>
              <w:right w:val="nil"/>
            </w:tcBorders>
            <w:shd w:val="clear" w:color="000000" w:fill="FFFFFF"/>
            <w:noWrap/>
            <w:vAlign w:val="bottom"/>
            <w:hideMark/>
          </w:tcPr>
          <w:p w14:paraId="15790E74" w14:textId="589A2393"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pct of GDP, 2015-19</w:t>
            </w:r>
          </w:p>
        </w:tc>
        <w:tc>
          <w:tcPr>
            <w:tcW w:w="1072" w:type="dxa"/>
            <w:tcBorders>
              <w:top w:val="nil"/>
              <w:left w:val="nil"/>
              <w:bottom w:val="nil"/>
              <w:right w:val="nil"/>
            </w:tcBorders>
            <w:shd w:val="clear" w:color="000000" w:fill="FFFFFF"/>
            <w:noWrap/>
            <w:vAlign w:val="bottom"/>
            <w:hideMark/>
          </w:tcPr>
          <w:p w14:paraId="602C352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AFF2DA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A86FA0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7334F7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467B548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04678F6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3F4FE4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(-3.88)</w:t>
            </w:r>
          </w:p>
        </w:tc>
      </w:tr>
      <w:tr w:rsidR="00E146F0" w:rsidRPr="000B1F26" w14:paraId="26BB1FD4" w14:textId="77777777" w:rsidTr="00FC0391">
        <w:trPr>
          <w:trHeight w:val="290"/>
        </w:trPr>
        <w:tc>
          <w:tcPr>
            <w:tcW w:w="2969" w:type="dxa"/>
            <w:tcBorders>
              <w:top w:val="nil"/>
              <w:left w:val="nil"/>
              <w:bottom w:val="nil"/>
              <w:right w:val="nil"/>
            </w:tcBorders>
            <w:shd w:val="clear" w:color="000000" w:fill="FFFFFF"/>
            <w:noWrap/>
            <w:vAlign w:val="bottom"/>
            <w:hideMark/>
          </w:tcPr>
          <w:p w14:paraId="10A3831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6BE9E13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671506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427127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29FCCAF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6202DD6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22F4FF2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BEC63B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7CD4EFB5" w14:textId="77777777" w:rsidTr="00FC0391">
        <w:trPr>
          <w:trHeight w:val="290"/>
        </w:trPr>
        <w:tc>
          <w:tcPr>
            <w:tcW w:w="2969" w:type="dxa"/>
            <w:tcBorders>
              <w:top w:val="nil"/>
              <w:left w:val="nil"/>
              <w:bottom w:val="nil"/>
              <w:right w:val="nil"/>
            </w:tcBorders>
            <w:shd w:val="clear" w:color="000000" w:fill="FFFFFF"/>
            <w:noWrap/>
            <w:vAlign w:val="bottom"/>
            <w:hideMark/>
          </w:tcPr>
          <w:p w14:paraId="73C0DD8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Constant</w:t>
            </w:r>
          </w:p>
        </w:tc>
        <w:tc>
          <w:tcPr>
            <w:tcW w:w="1072" w:type="dxa"/>
            <w:tcBorders>
              <w:top w:val="nil"/>
              <w:left w:val="nil"/>
              <w:bottom w:val="nil"/>
              <w:right w:val="nil"/>
            </w:tcBorders>
            <w:shd w:val="clear" w:color="000000" w:fill="FFFFFF"/>
            <w:noWrap/>
            <w:vAlign w:val="bottom"/>
            <w:hideMark/>
          </w:tcPr>
          <w:p w14:paraId="48FEA7B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-6.6*</w:t>
            </w:r>
          </w:p>
        </w:tc>
        <w:tc>
          <w:tcPr>
            <w:tcW w:w="1033" w:type="dxa"/>
            <w:tcBorders>
              <w:top w:val="nil"/>
              <w:left w:val="nil"/>
              <w:bottom w:val="nil"/>
              <w:right w:val="nil"/>
            </w:tcBorders>
            <w:shd w:val="clear" w:color="000000" w:fill="FFFFFF"/>
            <w:noWrap/>
            <w:vAlign w:val="bottom"/>
            <w:hideMark/>
          </w:tcPr>
          <w:p w14:paraId="6C75932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-31.8***</w:t>
            </w:r>
          </w:p>
        </w:tc>
        <w:tc>
          <w:tcPr>
            <w:tcW w:w="957" w:type="dxa"/>
            <w:tcBorders>
              <w:top w:val="nil"/>
              <w:left w:val="nil"/>
              <w:bottom w:val="nil"/>
              <w:right w:val="nil"/>
            </w:tcBorders>
            <w:shd w:val="clear" w:color="000000" w:fill="FFFFFF"/>
            <w:noWrap/>
            <w:vAlign w:val="bottom"/>
            <w:hideMark/>
          </w:tcPr>
          <w:p w14:paraId="759B911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-1.16</w:t>
            </w:r>
          </w:p>
        </w:tc>
        <w:tc>
          <w:tcPr>
            <w:tcW w:w="1072" w:type="dxa"/>
            <w:tcBorders>
              <w:top w:val="nil"/>
              <w:left w:val="nil"/>
              <w:bottom w:val="nil"/>
              <w:right w:val="nil"/>
            </w:tcBorders>
            <w:shd w:val="clear" w:color="000000" w:fill="FFFFFF"/>
            <w:noWrap/>
            <w:vAlign w:val="bottom"/>
            <w:hideMark/>
          </w:tcPr>
          <w:p w14:paraId="6C1B043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-5.95</w:t>
            </w:r>
          </w:p>
        </w:tc>
        <w:tc>
          <w:tcPr>
            <w:tcW w:w="1016" w:type="dxa"/>
            <w:tcBorders>
              <w:top w:val="nil"/>
              <w:left w:val="nil"/>
              <w:bottom w:val="nil"/>
              <w:right w:val="nil"/>
            </w:tcBorders>
            <w:shd w:val="clear" w:color="000000" w:fill="FFFFFF"/>
            <w:noWrap/>
            <w:vAlign w:val="bottom"/>
            <w:hideMark/>
          </w:tcPr>
          <w:p w14:paraId="637E77F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-5.17</w:t>
            </w:r>
          </w:p>
        </w:tc>
        <w:tc>
          <w:tcPr>
            <w:tcW w:w="928" w:type="dxa"/>
            <w:tcBorders>
              <w:top w:val="nil"/>
              <w:left w:val="nil"/>
              <w:bottom w:val="nil"/>
              <w:right w:val="nil"/>
            </w:tcBorders>
            <w:shd w:val="clear" w:color="000000" w:fill="FFFFFF"/>
            <w:noWrap/>
            <w:vAlign w:val="bottom"/>
            <w:hideMark/>
          </w:tcPr>
          <w:p w14:paraId="05CE316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-6.44</w:t>
            </w:r>
          </w:p>
        </w:tc>
        <w:tc>
          <w:tcPr>
            <w:tcW w:w="1033" w:type="dxa"/>
            <w:tcBorders>
              <w:top w:val="nil"/>
              <w:left w:val="nil"/>
              <w:bottom w:val="nil"/>
              <w:right w:val="nil"/>
            </w:tcBorders>
            <w:shd w:val="clear" w:color="000000" w:fill="FFFFFF"/>
            <w:noWrap/>
            <w:vAlign w:val="bottom"/>
            <w:hideMark/>
          </w:tcPr>
          <w:p w14:paraId="524A05F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-12.0***</w:t>
            </w:r>
          </w:p>
        </w:tc>
      </w:tr>
      <w:tr w:rsidR="00E146F0" w:rsidRPr="000B1F26" w14:paraId="3235C5CB" w14:textId="77777777" w:rsidTr="00FC0391">
        <w:trPr>
          <w:trHeight w:val="290"/>
        </w:trPr>
        <w:tc>
          <w:tcPr>
            <w:tcW w:w="2969" w:type="dxa"/>
            <w:tcBorders>
              <w:top w:val="nil"/>
              <w:left w:val="nil"/>
              <w:bottom w:val="nil"/>
              <w:right w:val="nil"/>
            </w:tcBorders>
            <w:shd w:val="clear" w:color="000000" w:fill="FFFFFF"/>
            <w:noWrap/>
            <w:vAlign w:val="bottom"/>
            <w:hideMark/>
          </w:tcPr>
          <w:p w14:paraId="0FFCFE6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77B93EE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(-1.66)</w:t>
            </w:r>
          </w:p>
        </w:tc>
        <w:tc>
          <w:tcPr>
            <w:tcW w:w="1033" w:type="dxa"/>
            <w:tcBorders>
              <w:top w:val="nil"/>
              <w:left w:val="nil"/>
              <w:bottom w:val="nil"/>
              <w:right w:val="nil"/>
            </w:tcBorders>
            <w:shd w:val="clear" w:color="000000" w:fill="FFFFFF"/>
            <w:noWrap/>
            <w:vAlign w:val="bottom"/>
            <w:hideMark/>
          </w:tcPr>
          <w:p w14:paraId="18AE798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(-4.54)</w:t>
            </w:r>
          </w:p>
        </w:tc>
        <w:tc>
          <w:tcPr>
            <w:tcW w:w="957" w:type="dxa"/>
            <w:tcBorders>
              <w:top w:val="nil"/>
              <w:left w:val="nil"/>
              <w:bottom w:val="nil"/>
              <w:right w:val="nil"/>
            </w:tcBorders>
            <w:shd w:val="clear" w:color="000000" w:fill="FFFFFF"/>
            <w:noWrap/>
            <w:vAlign w:val="bottom"/>
            <w:hideMark/>
          </w:tcPr>
          <w:p w14:paraId="7878518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(-0.26)</w:t>
            </w:r>
          </w:p>
        </w:tc>
        <w:tc>
          <w:tcPr>
            <w:tcW w:w="1072" w:type="dxa"/>
            <w:tcBorders>
              <w:top w:val="nil"/>
              <w:left w:val="nil"/>
              <w:bottom w:val="nil"/>
              <w:right w:val="nil"/>
            </w:tcBorders>
            <w:shd w:val="clear" w:color="000000" w:fill="FFFFFF"/>
            <w:noWrap/>
            <w:vAlign w:val="bottom"/>
            <w:hideMark/>
          </w:tcPr>
          <w:p w14:paraId="3ADDB2E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(-1.47)</w:t>
            </w:r>
          </w:p>
        </w:tc>
        <w:tc>
          <w:tcPr>
            <w:tcW w:w="1016" w:type="dxa"/>
            <w:tcBorders>
              <w:top w:val="nil"/>
              <w:left w:val="nil"/>
              <w:bottom w:val="nil"/>
              <w:right w:val="nil"/>
            </w:tcBorders>
            <w:shd w:val="clear" w:color="000000" w:fill="FFFFFF"/>
            <w:noWrap/>
            <w:vAlign w:val="bottom"/>
            <w:hideMark/>
          </w:tcPr>
          <w:p w14:paraId="66259E7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(-1.30)</w:t>
            </w:r>
          </w:p>
        </w:tc>
        <w:tc>
          <w:tcPr>
            <w:tcW w:w="928" w:type="dxa"/>
            <w:tcBorders>
              <w:top w:val="nil"/>
              <w:left w:val="nil"/>
              <w:bottom w:val="nil"/>
              <w:right w:val="nil"/>
            </w:tcBorders>
            <w:shd w:val="clear" w:color="000000" w:fill="FFFFFF"/>
            <w:noWrap/>
            <w:vAlign w:val="bottom"/>
            <w:hideMark/>
          </w:tcPr>
          <w:p w14:paraId="4C3C09F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(-1.64)</w:t>
            </w:r>
          </w:p>
        </w:tc>
        <w:tc>
          <w:tcPr>
            <w:tcW w:w="1033" w:type="dxa"/>
            <w:tcBorders>
              <w:top w:val="nil"/>
              <w:left w:val="nil"/>
              <w:bottom w:val="nil"/>
              <w:right w:val="nil"/>
            </w:tcBorders>
            <w:shd w:val="clear" w:color="000000" w:fill="FFFFFF"/>
            <w:noWrap/>
            <w:vAlign w:val="bottom"/>
            <w:hideMark/>
          </w:tcPr>
          <w:p w14:paraId="3656924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(-2.97)</w:t>
            </w:r>
          </w:p>
        </w:tc>
      </w:tr>
      <w:tr w:rsidR="00E146F0" w:rsidRPr="000B1F26" w14:paraId="23988751" w14:textId="77777777" w:rsidTr="00FC0391">
        <w:trPr>
          <w:trHeight w:val="290"/>
        </w:trPr>
        <w:tc>
          <w:tcPr>
            <w:tcW w:w="2969" w:type="dxa"/>
            <w:tcBorders>
              <w:top w:val="nil"/>
              <w:left w:val="nil"/>
              <w:bottom w:val="nil"/>
              <w:right w:val="nil"/>
            </w:tcBorders>
            <w:shd w:val="clear" w:color="000000" w:fill="FFFFFF"/>
            <w:noWrap/>
            <w:vAlign w:val="bottom"/>
            <w:hideMark/>
          </w:tcPr>
          <w:p w14:paraId="53F1D21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7F1591E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798BF53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094AD07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62B3EF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141B61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796E8DB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13FB1E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2054A1A5" w14:textId="77777777" w:rsidTr="00FC0391">
        <w:trPr>
          <w:trHeight w:val="290"/>
        </w:trPr>
        <w:tc>
          <w:tcPr>
            <w:tcW w:w="2969" w:type="dxa"/>
            <w:tcBorders>
              <w:top w:val="nil"/>
              <w:left w:val="nil"/>
              <w:bottom w:val="nil"/>
              <w:right w:val="nil"/>
            </w:tcBorders>
            <w:shd w:val="clear" w:color="000000" w:fill="FFFFFF"/>
            <w:noWrap/>
            <w:vAlign w:val="bottom"/>
            <w:hideMark/>
          </w:tcPr>
          <w:p w14:paraId="2D8C023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Observations</w:t>
            </w:r>
          </w:p>
        </w:tc>
        <w:tc>
          <w:tcPr>
            <w:tcW w:w="1072" w:type="dxa"/>
            <w:tcBorders>
              <w:top w:val="nil"/>
              <w:left w:val="nil"/>
              <w:bottom w:val="nil"/>
              <w:right w:val="nil"/>
            </w:tcBorders>
            <w:shd w:val="clear" w:color="000000" w:fill="FFFFFF"/>
            <w:noWrap/>
            <w:vAlign w:val="bottom"/>
            <w:hideMark/>
          </w:tcPr>
          <w:p w14:paraId="6F3D14D9"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148</w:t>
            </w:r>
          </w:p>
        </w:tc>
        <w:tc>
          <w:tcPr>
            <w:tcW w:w="1033" w:type="dxa"/>
            <w:tcBorders>
              <w:top w:val="nil"/>
              <w:left w:val="nil"/>
              <w:bottom w:val="nil"/>
              <w:right w:val="nil"/>
            </w:tcBorders>
            <w:shd w:val="clear" w:color="000000" w:fill="FFFFFF"/>
            <w:noWrap/>
            <w:vAlign w:val="bottom"/>
            <w:hideMark/>
          </w:tcPr>
          <w:p w14:paraId="1555BD20"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35</w:t>
            </w:r>
          </w:p>
        </w:tc>
        <w:tc>
          <w:tcPr>
            <w:tcW w:w="957" w:type="dxa"/>
            <w:tcBorders>
              <w:top w:val="nil"/>
              <w:left w:val="nil"/>
              <w:bottom w:val="nil"/>
              <w:right w:val="nil"/>
            </w:tcBorders>
            <w:shd w:val="clear" w:color="000000" w:fill="FFFFFF"/>
            <w:noWrap/>
            <w:vAlign w:val="bottom"/>
            <w:hideMark/>
          </w:tcPr>
          <w:p w14:paraId="15452482"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113</w:t>
            </w:r>
          </w:p>
        </w:tc>
        <w:tc>
          <w:tcPr>
            <w:tcW w:w="1072" w:type="dxa"/>
            <w:tcBorders>
              <w:top w:val="nil"/>
              <w:left w:val="nil"/>
              <w:bottom w:val="nil"/>
              <w:right w:val="nil"/>
            </w:tcBorders>
            <w:shd w:val="clear" w:color="000000" w:fill="FFFFFF"/>
            <w:noWrap/>
            <w:vAlign w:val="bottom"/>
            <w:hideMark/>
          </w:tcPr>
          <w:p w14:paraId="18964554"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148</w:t>
            </w:r>
          </w:p>
        </w:tc>
        <w:tc>
          <w:tcPr>
            <w:tcW w:w="1016" w:type="dxa"/>
            <w:tcBorders>
              <w:top w:val="nil"/>
              <w:left w:val="nil"/>
              <w:bottom w:val="nil"/>
              <w:right w:val="nil"/>
            </w:tcBorders>
            <w:shd w:val="clear" w:color="000000" w:fill="FFFFFF"/>
            <w:noWrap/>
            <w:vAlign w:val="bottom"/>
            <w:hideMark/>
          </w:tcPr>
          <w:p w14:paraId="57EE6089"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137</w:t>
            </w:r>
          </w:p>
        </w:tc>
        <w:tc>
          <w:tcPr>
            <w:tcW w:w="928" w:type="dxa"/>
            <w:tcBorders>
              <w:top w:val="nil"/>
              <w:left w:val="nil"/>
              <w:bottom w:val="nil"/>
              <w:right w:val="nil"/>
            </w:tcBorders>
            <w:shd w:val="clear" w:color="000000" w:fill="FFFFFF"/>
            <w:noWrap/>
            <w:vAlign w:val="bottom"/>
            <w:hideMark/>
          </w:tcPr>
          <w:p w14:paraId="6EFA4A5F"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109</w:t>
            </w:r>
          </w:p>
        </w:tc>
        <w:tc>
          <w:tcPr>
            <w:tcW w:w="1033" w:type="dxa"/>
            <w:tcBorders>
              <w:top w:val="nil"/>
              <w:left w:val="nil"/>
              <w:bottom w:val="nil"/>
              <w:right w:val="nil"/>
            </w:tcBorders>
            <w:shd w:val="clear" w:color="000000" w:fill="FFFFFF"/>
            <w:noWrap/>
            <w:vAlign w:val="bottom"/>
            <w:hideMark/>
          </w:tcPr>
          <w:p w14:paraId="13042037"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155</w:t>
            </w:r>
          </w:p>
        </w:tc>
      </w:tr>
      <w:tr w:rsidR="0019507A" w:rsidRPr="000B1F26" w14:paraId="46E49FC6" w14:textId="77777777" w:rsidTr="00FC0391">
        <w:trPr>
          <w:trHeight w:val="290"/>
        </w:trPr>
        <w:tc>
          <w:tcPr>
            <w:tcW w:w="2969" w:type="dxa"/>
            <w:tcBorders>
              <w:top w:val="nil"/>
              <w:left w:val="nil"/>
              <w:bottom w:val="nil"/>
              <w:right w:val="nil"/>
            </w:tcBorders>
            <w:shd w:val="clear" w:color="000000" w:fill="FFFFFF"/>
            <w:noWrap/>
            <w:vAlign w:val="bottom"/>
            <w:hideMark/>
          </w:tcPr>
          <w:p w14:paraId="69C9EB3D" w14:textId="56CB027F" w:rsidR="0019507A" w:rsidRPr="000B1F26" w:rsidRDefault="0019507A" w:rsidP="0019507A">
            <w:pPr>
              <w:spacing w:after="0" w:line="240" w:lineRule="auto"/>
              <w:rPr>
                <w:rFonts w:eastAsia="Times New Roman" w:cstheme="minorHAnsi"/>
                <w:color w:val="000000"/>
                <w:sz w:val="20"/>
                <w:szCs w:val="20"/>
              </w:rPr>
            </w:pPr>
            <w:r w:rsidRPr="00AD48F1">
              <w:rPr>
                <w:rFonts w:eastAsia="Times New Roman" w:cs="Times New Roman"/>
                <w:color w:val="000000"/>
                <w:sz w:val="20"/>
                <w:szCs w:val="20"/>
              </w:rPr>
              <w:t>R</w:t>
            </w:r>
            <w:r>
              <w:rPr>
                <w:rFonts w:eastAsia="Times New Roman" w:cs="Times New Roman"/>
                <w:color w:val="000000"/>
                <w:sz w:val="20"/>
                <w:szCs w:val="20"/>
                <w:vertAlign w:val="superscript"/>
              </w:rPr>
              <w:t>2</w:t>
            </w:r>
          </w:p>
        </w:tc>
        <w:tc>
          <w:tcPr>
            <w:tcW w:w="1072" w:type="dxa"/>
            <w:tcBorders>
              <w:top w:val="nil"/>
              <w:left w:val="nil"/>
              <w:bottom w:val="nil"/>
              <w:right w:val="nil"/>
            </w:tcBorders>
            <w:shd w:val="clear" w:color="000000" w:fill="FFFFFF"/>
            <w:noWrap/>
            <w:vAlign w:val="bottom"/>
            <w:hideMark/>
          </w:tcPr>
          <w:p w14:paraId="02527B20"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0.48</w:t>
            </w:r>
          </w:p>
        </w:tc>
        <w:tc>
          <w:tcPr>
            <w:tcW w:w="1033" w:type="dxa"/>
            <w:tcBorders>
              <w:top w:val="nil"/>
              <w:left w:val="nil"/>
              <w:bottom w:val="nil"/>
              <w:right w:val="nil"/>
            </w:tcBorders>
            <w:shd w:val="clear" w:color="000000" w:fill="FFFFFF"/>
            <w:noWrap/>
            <w:vAlign w:val="bottom"/>
            <w:hideMark/>
          </w:tcPr>
          <w:p w14:paraId="314A26AF"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0.77</w:t>
            </w:r>
          </w:p>
        </w:tc>
        <w:tc>
          <w:tcPr>
            <w:tcW w:w="957" w:type="dxa"/>
            <w:tcBorders>
              <w:top w:val="nil"/>
              <w:left w:val="nil"/>
              <w:bottom w:val="nil"/>
              <w:right w:val="nil"/>
            </w:tcBorders>
            <w:shd w:val="clear" w:color="000000" w:fill="FFFFFF"/>
            <w:noWrap/>
            <w:vAlign w:val="bottom"/>
            <w:hideMark/>
          </w:tcPr>
          <w:p w14:paraId="04BAD9ED"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0.49</w:t>
            </w:r>
          </w:p>
        </w:tc>
        <w:tc>
          <w:tcPr>
            <w:tcW w:w="1072" w:type="dxa"/>
            <w:tcBorders>
              <w:top w:val="nil"/>
              <w:left w:val="nil"/>
              <w:bottom w:val="nil"/>
              <w:right w:val="nil"/>
            </w:tcBorders>
            <w:shd w:val="clear" w:color="000000" w:fill="FFFFFF"/>
            <w:noWrap/>
            <w:vAlign w:val="bottom"/>
            <w:hideMark/>
          </w:tcPr>
          <w:p w14:paraId="0F47151E"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0.48</w:t>
            </w:r>
          </w:p>
        </w:tc>
        <w:tc>
          <w:tcPr>
            <w:tcW w:w="1016" w:type="dxa"/>
            <w:tcBorders>
              <w:top w:val="nil"/>
              <w:left w:val="nil"/>
              <w:bottom w:val="nil"/>
              <w:right w:val="nil"/>
            </w:tcBorders>
            <w:shd w:val="clear" w:color="000000" w:fill="FFFFFF"/>
            <w:noWrap/>
            <w:vAlign w:val="bottom"/>
            <w:hideMark/>
          </w:tcPr>
          <w:p w14:paraId="3501E655"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0.34</w:t>
            </w:r>
          </w:p>
        </w:tc>
        <w:tc>
          <w:tcPr>
            <w:tcW w:w="928" w:type="dxa"/>
            <w:tcBorders>
              <w:top w:val="nil"/>
              <w:left w:val="nil"/>
              <w:bottom w:val="nil"/>
              <w:right w:val="nil"/>
            </w:tcBorders>
            <w:shd w:val="clear" w:color="000000" w:fill="FFFFFF"/>
            <w:noWrap/>
            <w:vAlign w:val="bottom"/>
            <w:hideMark/>
          </w:tcPr>
          <w:p w14:paraId="24EE1AD4"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0.32</w:t>
            </w:r>
          </w:p>
        </w:tc>
        <w:tc>
          <w:tcPr>
            <w:tcW w:w="1033" w:type="dxa"/>
            <w:tcBorders>
              <w:top w:val="nil"/>
              <w:left w:val="nil"/>
              <w:bottom w:val="nil"/>
              <w:right w:val="nil"/>
            </w:tcBorders>
            <w:shd w:val="clear" w:color="000000" w:fill="FFFFFF"/>
            <w:noWrap/>
            <w:vAlign w:val="bottom"/>
            <w:hideMark/>
          </w:tcPr>
          <w:p w14:paraId="5D880996"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0.43</w:t>
            </w:r>
          </w:p>
        </w:tc>
      </w:tr>
    </w:tbl>
    <w:p w14:paraId="04BA62FE" w14:textId="37C4AC51" w:rsidR="00B056CB" w:rsidRDefault="00B056CB" w:rsidP="00C85F8D">
      <w:pPr>
        <w:jc w:val="center"/>
      </w:pPr>
    </w:p>
    <w:p w14:paraId="3BE25594" w14:textId="77777777" w:rsidR="0019507A" w:rsidRDefault="0019507A" w:rsidP="0019507A">
      <w:pPr>
        <w:spacing w:after="0" w:line="240" w:lineRule="auto"/>
      </w:pPr>
      <w:r>
        <w:t xml:space="preserve">Note: Dependent variable is GDP growth in 2020 minus the pre-COVID growth forecast (from WEO, 2020). </w:t>
      </w:r>
    </w:p>
    <w:p w14:paraId="74F9F557" w14:textId="77777777" w:rsidR="0019507A" w:rsidRPr="00F1696E" w:rsidRDefault="0019507A" w:rsidP="0019507A">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0F138375" w14:textId="77777777" w:rsidR="0019507A" w:rsidRDefault="0019507A" w:rsidP="0019507A"/>
    <w:sectPr w:rsidR="0019507A" w:rsidSect="001130DB">
      <w:head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5942B" w14:textId="77777777" w:rsidR="00265BF9" w:rsidRDefault="00265BF9" w:rsidP="00834639">
      <w:pPr>
        <w:spacing w:after="0" w:line="240" w:lineRule="auto"/>
      </w:pPr>
      <w:r>
        <w:separator/>
      </w:r>
    </w:p>
  </w:endnote>
  <w:endnote w:type="continuationSeparator" w:id="0">
    <w:p w14:paraId="402C952A" w14:textId="77777777" w:rsidR="00265BF9" w:rsidRDefault="00265BF9" w:rsidP="00834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A4442" w14:textId="77777777" w:rsidR="00265BF9" w:rsidRDefault="00265BF9" w:rsidP="00834639">
      <w:pPr>
        <w:spacing w:after="0" w:line="240" w:lineRule="auto"/>
      </w:pPr>
      <w:r>
        <w:separator/>
      </w:r>
    </w:p>
  </w:footnote>
  <w:footnote w:type="continuationSeparator" w:id="0">
    <w:p w14:paraId="3C177608" w14:textId="77777777" w:rsidR="00265BF9" w:rsidRDefault="00265BF9" w:rsidP="00834639">
      <w:pPr>
        <w:spacing w:after="0" w:line="240" w:lineRule="auto"/>
      </w:pPr>
      <w:r>
        <w:continuationSeparator/>
      </w:r>
    </w:p>
  </w:footnote>
  <w:footnote w:id="1">
    <w:p w14:paraId="0463B613" w14:textId="3055130D" w:rsidR="00C655B4" w:rsidRDefault="00C655B4">
      <w:pPr>
        <w:pStyle w:val="FootnoteText"/>
      </w:pPr>
      <w:r>
        <w:rPr>
          <w:rStyle w:val="FootnoteReference"/>
        </w:rPr>
        <w:footnoteRef/>
      </w:r>
      <w:r>
        <w:t xml:space="preserve"> </w:t>
      </w:r>
      <w:r w:rsidR="00EF6EBD">
        <w:t>T</w:t>
      </w:r>
      <w:r>
        <w:t xml:space="preserve">he only </w:t>
      </w:r>
      <w:r w:rsidR="00EF6EBD">
        <w:t xml:space="preserve">net </w:t>
      </w:r>
      <w:r>
        <w:t xml:space="preserve">creditor countries among those with net international travel revenues above 5 percent of GDP are financial centers </w:t>
      </w:r>
      <w:r w:rsidR="002243AC">
        <w:t>(Bahrain,</w:t>
      </w:r>
      <w:r>
        <w:t xml:space="preserve"> Macau, </w:t>
      </w:r>
      <w:r w:rsidR="002243AC">
        <w:t>Malta, Mauritius)</w:t>
      </w:r>
      <w:r w:rsidR="00EF6EBD">
        <w:t xml:space="preserve"> and Iceland.</w:t>
      </w:r>
    </w:p>
  </w:footnote>
  <w:footnote w:id="2">
    <w:p w14:paraId="50777DA9" w14:textId="7CCF2C27" w:rsidR="00961676" w:rsidRDefault="00961676">
      <w:pPr>
        <w:pStyle w:val="FootnoteText"/>
      </w:pPr>
      <w:r>
        <w:rPr>
          <w:rStyle w:val="FootnoteReference"/>
        </w:rPr>
        <w:footnoteRef/>
      </w:r>
      <w:r>
        <w:t xml:space="preserve">  Kuwait’s reported current account surplus increased in 2020 despite a massive worsening of the oil balance</w:t>
      </w:r>
      <w:r w:rsidR="000518AF">
        <w:t>, because of a $10 billion upward jump in reported investment income</w:t>
      </w:r>
      <w:r>
        <w:t>.</w:t>
      </w:r>
    </w:p>
  </w:footnote>
  <w:footnote w:id="3">
    <w:p w14:paraId="7D393BC7" w14:textId="46D9B689" w:rsidR="004E1E39" w:rsidRDefault="004E1E39">
      <w:pPr>
        <w:pStyle w:val="FootnoteText"/>
      </w:pPr>
      <w:r>
        <w:rPr>
          <w:rStyle w:val="FootnoteReference"/>
        </w:rPr>
        <w:footnoteRef/>
      </w:r>
      <w:r>
        <w:t xml:space="preserve"> We exclude from the sample a few economies affected by economic stress and political strife, as discussed at the beginning of the next sub-section.</w:t>
      </w:r>
    </w:p>
  </w:footnote>
  <w:footnote w:id="4">
    <w:p w14:paraId="62BE1D21" w14:textId="61A4960A" w:rsidR="00047979" w:rsidRDefault="00047979">
      <w:pPr>
        <w:pStyle w:val="FootnoteText"/>
      </w:pPr>
      <w:r>
        <w:rPr>
          <w:rStyle w:val="FootnoteReference"/>
        </w:rPr>
        <w:footnoteRef/>
      </w:r>
      <w:r>
        <w:t xml:space="preserve"> We use the IMF definition of advanced economies: a full set of countries is included in the Appendix.</w:t>
      </w:r>
    </w:p>
  </w:footnote>
  <w:footnote w:id="5">
    <w:p w14:paraId="5B4A8855" w14:textId="35D3C02A" w:rsidR="007D4AD8" w:rsidRDefault="007D4AD8">
      <w:pPr>
        <w:pStyle w:val="FootnoteText"/>
      </w:pPr>
      <w:r>
        <w:rPr>
          <w:rStyle w:val="FootnoteReference"/>
        </w:rPr>
        <w:footnoteRef/>
      </w:r>
      <w:r>
        <w:t xml:space="preserve"> The index </w:t>
      </w:r>
      <w:r w:rsidR="009B01F9">
        <w:t xml:space="preserve">is constructed from </w:t>
      </w:r>
      <w:r w:rsidRPr="007D4AD8">
        <w:t>nine indicators including school closures, workplace</w:t>
      </w:r>
      <w:r w:rsidR="009B01F9">
        <w:t xml:space="preserve"> </w:t>
      </w:r>
      <w:r w:rsidRPr="007D4AD8">
        <w:t>closures, and travel bans</w:t>
      </w:r>
      <w:r w:rsidR="009B01F9">
        <w:t>.</w:t>
      </w:r>
    </w:p>
  </w:footnote>
  <w:footnote w:id="6">
    <w:p w14:paraId="6BE2ED4F" w14:textId="1866B4BB" w:rsidR="001872AC" w:rsidRDefault="001872AC">
      <w:pPr>
        <w:pStyle w:val="FootnoteText"/>
      </w:pPr>
      <w:r>
        <w:rPr>
          <w:rStyle w:val="FootnoteReference"/>
        </w:rPr>
        <w:footnoteRef/>
      </w:r>
      <w:r>
        <w:t xml:space="preserve"> The drop in the overall explanatory power of the regression is due </w:t>
      </w:r>
      <w:r w:rsidR="00FD7242">
        <w:t>to a sample composition effect—the sectoral composition of output is not available for a few island economies that contribute to the fit of the overall regression</w:t>
      </w:r>
      <w:r w:rsidR="00733BB6">
        <w:t xml:space="preserve">. Using the same sample for the regressions in columns (3) and </w:t>
      </w:r>
      <w:r w:rsidR="00D6115C">
        <w:t xml:space="preserve">(4) </w:t>
      </w:r>
      <w:r w:rsidR="00617C97">
        <w:t>reduces the fit of t</w:t>
      </w:r>
      <w:r w:rsidR="00FB2340">
        <w:t>he column (3) specification to 0.45, without altering the statistical and economic significance of the coefficients.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582216"/>
      <w:docPartObj>
        <w:docPartGallery w:val="Page Numbers (Top of Page)"/>
        <w:docPartUnique/>
      </w:docPartObj>
    </w:sdtPr>
    <w:sdtEndPr>
      <w:rPr>
        <w:noProof/>
      </w:rPr>
    </w:sdtEndPr>
    <w:sdtContent>
      <w:p w14:paraId="505B6372" w14:textId="51AA2FE8" w:rsidR="00834639" w:rsidRDefault="008346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EB2506" w14:textId="77777777" w:rsidR="00834639" w:rsidRDefault="00834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07E4B"/>
    <w:multiLevelType w:val="hybridMultilevel"/>
    <w:tmpl w:val="83A82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56"/>
    <w:rsid w:val="00001464"/>
    <w:rsid w:val="00003195"/>
    <w:rsid w:val="000044C8"/>
    <w:rsid w:val="0000611E"/>
    <w:rsid w:val="00007732"/>
    <w:rsid w:val="00007FAD"/>
    <w:rsid w:val="00011DD7"/>
    <w:rsid w:val="00012DA5"/>
    <w:rsid w:val="00020077"/>
    <w:rsid w:val="00021C76"/>
    <w:rsid w:val="000232C4"/>
    <w:rsid w:val="00025BA8"/>
    <w:rsid w:val="00025BAC"/>
    <w:rsid w:val="00025D83"/>
    <w:rsid w:val="00027ACF"/>
    <w:rsid w:val="000302DA"/>
    <w:rsid w:val="000341AF"/>
    <w:rsid w:val="000341F7"/>
    <w:rsid w:val="0003495F"/>
    <w:rsid w:val="00035A2A"/>
    <w:rsid w:val="000408A2"/>
    <w:rsid w:val="0004273D"/>
    <w:rsid w:val="00043510"/>
    <w:rsid w:val="00044C76"/>
    <w:rsid w:val="000459FA"/>
    <w:rsid w:val="00047979"/>
    <w:rsid w:val="000518AF"/>
    <w:rsid w:val="00051D07"/>
    <w:rsid w:val="00051E41"/>
    <w:rsid w:val="00052C78"/>
    <w:rsid w:val="00052CA5"/>
    <w:rsid w:val="000536BD"/>
    <w:rsid w:val="0005663F"/>
    <w:rsid w:val="00060422"/>
    <w:rsid w:val="000605FF"/>
    <w:rsid w:val="00061756"/>
    <w:rsid w:val="000653D3"/>
    <w:rsid w:val="00066EE4"/>
    <w:rsid w:val="00071BA5"/>
    <w:rsid w:val="00073E3D"/>
    <w:rsid w:val="00073E8F"/>
    <w:rsid w:val="00074B65"/>
    <w:rsid w:val="000800AB"/>
    <w:rsid w:val="00083500"/>
    <w:rsid w:val="00083C0D"/>
    <w:rsid w:val="00092568"/>
    <w:rsid w:val="00094726"/>
    <w:rsid w:val="000A0851"/>
    <w:rsid w:val="000A12D0"/>
    <w:rsid w:val="000A52B0"/>
    <w:rsid w:val="000B1312"/>
    <w:rsid w:val="000B1F26"/>
    <w:rsid w:val="000B28F1"/>
    <w:rsid w:val="000B4507"/>
    <w:rsid w:val="000B45A6"/>
    <w:rsid w:val="000B4EDF"/>
    <w:rsid w:val="000C040D"/>
    <w:rsid w:val="000C4C82"/>
    <w:rsid w:val="000C5DF0"/>
    <w:rsid w:val="000E0E2F"/>
    <w:rsid w:val="000E4AF5"/>
    <w:rsid w:val="000F0DCD"/>
    <w:rsid w:val="000F1D19"/>
    <w:rsid w:val="000F47F6"/>
    <w:rsid w:val="000F6A43"/>
    <w:rsid w:val="000F6C2E"/>
    <w:rsid w:val="000F7E0B"/>
    <w:rsid w:val="000F7F49"/>
    <w:rsid w:val="001120AE"/>
    <w:rsid w:val="0011291C"/>
    <w:rsid w:val="001130DB"/>
    <w:rsid w:val="00117394"/>
    <w:rsid w:val="001257F1"/>
    <w:rsid w:val="00130D0E"/>
    <w:rsid w:val="001352F5"/>
    <w:rsid w:val="00143A42"/>
    <w:rsid w:val="00150718"/>
    <w:rsid w:val="00151367"/>
    <w:rsid w:val="00152E7F"/>
    <w:rsid w:val="00154DA7"/>
    <w:rsid w:val="0016545F"/>
    <w:rsid w:val="00165AD8"/>
    <w:rsid w:val="001815B3"/>
    <w:rsid w:val="0018369E"/>
    <w:rsid w:val="00186E2D"/>
    <w:rsid w:val="001872AC"/>
    <w:rsid w:val="0019507A"/>
    <w:rsid w:val="001A4F7D"/>
    <w:rsid w:val="001A5C12"/>
    <w:rsid w:val="001A6487"/>
    <w:rsid w:val="001B05F0"/>
    <w:rsid w:val="001B35ED"/>
    <w:rsid w:val="001B38E7"/>
    <w:rsid w:val="001B5710"/>
    <w:rsid w:val="001C5050"/>
    <w:rsid w:val="001C6758"/>
    <w:rsid w:val="001D2047"/>
    <w:rsid w:val="001D2EAE"/>
    <w:rsid w:val="001D5CB0"/>
    <w:rsid w:val="001D5CE7"/>
    <w:rsid w:val="001E26AE"/>
    <w:rsid w:val="001E3639"/>
    <w:rsid w:val="001F2E76"/>
    <w:rsid w:val="001F6864"/>
    <w:rsid w:val="00202300"/>
    <w:rsid w:val="00205D24"/>
    <w:rsid w:val="0022275C"/>
    <w:rsid w:val="002235BC"/>
    <w:rsid w:val="002243AC"/>
    <w:rsid w:val="002252CC"/>
    <w:rsid w:val="00226D37"/>
    <w:rsid w:val="0022713F"/>
    <w:rsid w:val="00234FB5"/>
    <w:rsid w:val="00236B0D"/>
    <w:rsid w:val="00240C30"/>
    <w:rsid w:val="00242380"/>
    <w:rsid w:val="00245252"/>
    <w:rsid w:val="00250134"/>
    <w:rsid w:val="002546BC"/>
    <w:rsid w:val="00256C3B"/>
    <w:rsid w:val="00264CC1"/>
    <w:rsid w:val="00265BF9"/>
    <w:rsid w:val="002664D4"/>
    <w:rsid w:val="00266D61"/>
    <w:rsid w:val="002701B5"/>
    <w:rsid w:val="00275BCE"/>
    <w:rsid w:val="002779CE"/>
    <w:rsid w:val="0028193C"/>
    <w:rsid w:val="002833A5"/>
    <w:rsid w:val="00285051"/>
    <w:rsid w:val="00291B01"/>
    <w:rsid w:val="00292273"/>
    <w:rsid w:val="002A38D0"/>
    <w:rsid w:val="002B4078"/>
    <w:rsid w:val="002B4168"/>
    <w:rsid w:val="002B438B"/>
    <w:rsid w:val="002B4EA2"/>
    <w:rsid w:val="002B6C8F"/>
    <w:rsid w:val="002C1597"/>
    <w:rsid w:val="002C50AF"/>
    <w:rsid w:val="002D26EC"/>
    <w:rsid w:val="002D4081"/>
    <w:rsid w:val="002D4970"/>
    <w:rsid w:val="002D617C"/>
    <w:rsid w:val="002D6188"/>
    <w:rsid w:val="002D780B"/>
    <w:rsid w:val="002E0F5C"/>
    <w:rsid w:val="002E3174"/>
    <w:rsid w:val="002E3D2B"/>
    <w:rsid w:val="002E75EC"/>
    <w:rsid w:val="002F1937"/>
    <w:rsid w:val="002F3C80"/>
    <w:rsid w:val="002F4DE7"/>
    <w:rsid w:val="003045BC"/>
    <w:rsid w:val="003051F3"/>
    <w:rsid w:val="00306C2B"/>
    <w:rsid w:val="003072FA"/>
    <w:rsid w:val="00307E03"/>
    <w:rsid w:val="0031102C"/>
    <w:rsid w:val="003125AF"/>
    <w:rsid w:val="00314C4A"/>
    <w:rsid w:val="00317572"/>
    <w:rsid w:val="00321263"/>
    <w:rsid w:val="00325644"/>
    <w:rsid w:val="00325D10"/>
    <w:rsid w:val="0032745D"/>
    <w:rsid w:val="0033034A"/>
    <w:rsid w:val="00331020"/>
    <w:rsid w:val="003362FB"/>
    <w:rsid w:val="00336A96"/>
    <w:rsid w:val="003372AD"/>
    <w:rsid w:val="00343139"/>
    <w:rsid w:val="00343F9B"/>
    <w:rsid w:val="0034490E"/>
    <w:rsid w:val="003505E5"/>
    <w:rsid w:val="00352EDB"/>
    <w:rsid w:val="00355387"/>
    <w:rsid w:val="00355DF3"/>
    <w:rsid w:val="003609DF"/>
    <w:rsid w:val="0036138D"/>
    <w:rsid w:val="00363FD9"/>
    <w:rsid w:val="003713F9"/>
    <w:rsid w:val="003725A6"/>
    <w:rsid w:val="00377B5B"/>
    <w:rsid w:val="0038282C"/>
    <w:rsid w:val="0038387A"/>
    <w:rsid w:val="00383A92"/>
    <w:rsid w:val="00385D8B"/>
    <w:rsid w:val="00386AC5"/>
    <w:rsid w:val="003878F0"/>
    <w:rsid w:val="00391DE6"/>
    <w:rsid w:val="003935DA"/>
    <w:rsid w:val="00395AE7"/>
    <w:rsid w:val="003A0E8E"/>
    <w:rsid w:val="003A2610"/>
    <w:rsid w:val="003B138D"/>
    <w:rsid w:val="003B1E88"/>
    <w:rsid w:val="003B28B2"/>
    <w:rsid w:val="003B6B3E"/>
    <w:rsid w:val="003B7462"/>
    <w:rsid w:val="003C1340"/>
    <w:rsid w:val="003C1446"/>
    <w:rsid w:val="003C38E7"/>
    <w:rsid w:val="003D48FC"/>
    <w:rsid w:val="003D4F30"/>
    <w:rsid w:val="003D6570"/>
    <w:rsid w:val="003E0899"/>
    <w:rsid w:val="003E0E81"/>
    <w:rsid w:val="003E30E4"/>
    <w:rsid w:val="003E343E"/>
    <w:rsid w:val="003E48A4"/>
    <w:rsid w:val="003E7E55"/>
    <w:rsid w:val="003F5D71"/>
    <w:rsid w:val="003F6D74"/>
    <w:rsid w:val="003F6EBC"/>
    <w:rsid w:val="003F79B2"/>
    <w:rsid w:val="00403CF8"/>
    <w:rsid w:val="004052DB"/>
    <w:rsid w:val="00411288"/>
    <w:rsid w:val="00413B1F"/>
    <w:rsid w:val="00414297"/>
    <w:rsid w:val="00414792"/>
    <w:rsid w:val="0042121C"/>
    <w:rsid w:val="00424208"/>
    <w:rsid w:val="00425A21"/>
    <w:rsid w:val="00426C69"/>
    <w:rsid w:val="004307DF"/>
    <w:rsid w:val="00433DA6"/>
    <w:rsid w:val="00437755"/>
    <w:rsid w:val="00441637"/>
    <w:rsid w:val="00443886"/>
    <w:rsid w:val="00444A39"/>
    <w:rsid w:val="00445688"/>
    <w:rsid w:val="0044633C"/>
    <w:rsid w:val="0044648F"/>
    <w:rsid w:val="00446E46"/>
    <w:rsid w:val="00454BCA"/>
    <w:rsid w:val="004552D4"/>
    <w:rsid w:val="00455CF5"/>
    <w:rsid w:val="0046455B"/>
    <w:rsid w:val="00465159"/>
    <w:rsid w:val="00466983"/>
    <w:rsid w:val="004705B5"/>
    <w:rsid w:val="00470B71"/>
    <w:rsid w:val="004710F8"/>
    <w:rsid w:val="00472106"/>
    <w:rsid w:val="00473070"/>
    <w:rsid w:val="00475DA1"/>
    <w:rsid w:val="0047655B"/>
    <w:rsid w:val="00482B1E"/>
    <w:rsid w:val="00482CB8"/>
    <w:rsid w:val="00484CE4"/>
    <w:rsid w:val="00485D8B"/>
    <w:rsid w:val="004864E8"/>
    <w:rsid w:val="0049703F"/>
    <w:rsid w:val="004A047F"/>
    <w:rsid w:val="004A233F"/>
    <w:rsid w:val="004A77A6"/>
    <w:rsid w:val="004B0AA7"/>
    <w:rsid w:val="004B0E72"/>
    <w:rsid w:val="004B45B5"/>
    <w:rsid w:val="004B4996"/>
    <w:rsid w:val="004B4D8B"/>
    <w:rsid w:val="004B508F"/>
    <w:rsid w:val="004B7234"/>
    <w:rsid w:val="004C110D"/>
    <w:rsid w:val="004C13A0"/>
    <w:rsid w:val="004C33F5"/>
    <w:rsid w:val="004D1E9C"/>
    <w:rsid w:val="004D649A"/>
    <w:rsid w:val="004E1E39"/>
    <w:rsid w:val="004E205E"/>
    <w:rsid w:val="004E2D19"/>
    <w:rsid w:val="004E51F5"/>
    <w:rsid w:val="004E5938"/>
    <w:rsid w:val="004F012B"/>
    <w:rsid w:val="004F1945"/>
    <w:rsid w:val="004F4DF5"/>
    <w:rsid w:val="004F64A2"/>
    <w:rsid w:val="004F7302"/>
    <w:rsid w:val="004F7E71"/>
    <w:rsid w:val="005003CC"/>
    <w:rsid w:val="00500EE2"/>
    <w:rsid w:val="005015B8"/>
    <w:rsid w:val="00502064"/>
    <w:rsid w:val="00505483"/>
    <w:rsid w:val="00511DDC"/>
    <w:rsid w:val="00515255"/>
    <w:rsid w:val="00520D14"/>
    <w:rsid w:val="005224EA"/>
    <w:rsid w:val="00524FBE"/>
    <w:rsid w:val="005252DF"/>
    <w:rsid w:val="00527758"/>
    <w:rsid w:val="00532D7A"/>
    <w:rsid w:val="00532F06"/>
    <w:rsid w:val="00533193"/>
    <w:rsid w:val="00533FA4"/>
    <w:rsid w:val="0053585D"/>
    <w:rsid w:val="00536A8C"/>
    <w:rsid w:val="00554504"/>
    <w:rsid w:val="00554CBA"/>
    <w:rsid w:val="005572D2"/>
    <w:rsid w:val="00557F57"/>
    <w:rsid w:val="005600D1"/>
    <w:rsid w:val="00561A22"/>
    <w:rsid w:val="00561F7F"/>
    <w:rsid w:val="005638A7"/>
    <w:rsid w:val="0056608C"/>
    <w:rsid w:val="00566D58"/>
    <w:rsid w:val="00570AD9"/>
    <w:rsid w:val="00574316"/>
    <w:rsid w:val="00575EF9"/>
    <w:rsid w:val="00576012"/>
    <w:rsid w:val="0058129D"/>
    <w:rsid w:val="0058477D"/>
    <w:rsid w:val="00584CE4"/>
    <w:rsid w:val="005871AE"/>
    <w:rsid w:val="00587896"/>
    <w:rsid w:val="00592C62"/>
    <w:rsid w:val="00594E99"/>
    <w:rsid w:val="005A585A"/>
    <w:rsid w:val="005A59AB"/>
    <w:rsid w:val="005B0ABB"/>
    <w:rsid w:val="005B25BE"/>
    <w:rsid w:val="005B3B7E"/>
    <w:rsid w:val="005B4BEB"/>
    <w:rsid w:val="005C045C"/>
    <w:rsid w:val="005C1F3E"/>
    <w:rsid w:val="005C6894"/>
    <w:rsid w:val="005C7BE1"/>
    <w:rsid w:val="005C7EDD"/>
    <w:rsid w:val="005D0883"/>
    <w:rsid w:val="005D3939"/>
    <w:rsid w:val="005D6BA6"/>
    <w:rsid w:val="005D6C72"/>
    <w:rsid w:val="005E0BE8"/>
    <w:rsid w:val="005E19E0"/>
    <w:rsid w:val="005F6A0E"/>
    <w:rsid w:val="005F6FDC"/>
    <w:rsid w:val="00601D0B"/>
    <w:rsid w:val="006049A7"/>
    <w:rsid w:val="00605AF3"/>
    <w:rsid w:val="00606713"/>
    <w:rsid w:val="00612E91"/>
    <w:rsid w:val="006140F4"/>
    <w:rsid w:val="006168DE"/>
    <w:rsid w:val="006170E5"/>
    <w:rsid w:val="00617C97"/>
    <w:rsid w:val="006214D3"/>
    <w:rsid w:val="00632655"/>
    <w:rsid w:val="00632E2B"/>
    <w:rsid w:val="00640B0C"/>
    <w:rsid w:val="00647700"/>
    <w:rsid w:val="006538E1"/>
    <w:rsid w:val="00654363"/>
    <w:rsid w:val="00654B5B"/>
    <w:rsid w:val="00655B4D"/>
    <w:rsid w:val="00663FCA"/>
    <w:rsid w:val="006655EB"/>
    <w:rsid w:val="00665EBE"/>
    <w:rsid w:val="00670BFC"/>
    <w:rsid w:val="006731EE"/>
    <w:rsid w:val="00675448"/>
    <w:rsid w:val="0068391E"/>
    <w:rsid w:val="00687EF3"/>
    <w:rsid w:val="00690EFD"/>
    <w:rsid w:val="006912EA"/>
    <w:rsid w:val="006926B8"/>
    <w:rsid w:val="00693A42"/>
    <w:rsid w:val="00694B5D"/>
    <w:rsid w:val="006A6001"/>
    <w:rsid w:val="006B022A"/>
    <w:rsid w:val="006B21BF"/>
    <w:rsid w:val="006B35BD"/>
    <w:rsid w:val="006B478A"/>
    <w:rsid w:val="006B6446"/>
    <w:rsid w:val="006C39E6"/>
    <w:rsid w:val="006D0A39"/>
    <w:rsid w:val="006D19BC"/>
    <w:rsid w:val="006D3FB1"/>
    <w:rsid w:val="006D64C0"/>
    <w:rsid w:val="006D6687"/>
    <w:rsid w:val="006E1F2F"/>
    <w:rsid w:val="006E69FB"/>
    <w:rsid w:val="006F002C"/>
    <w:rsid w:val="00700DC6"/>
    <w:rsid w:val="00700F91"/>
    <w:rsid w:val="00701A94"/>
    <w:rsid w:val="0070331E"/>
    <w:rsid w:val="00703CCE"/>
    <w:rsid w:val="007055B1"/>
    <w:rsid w:val="0071559F"/>
    <w:rsid w:val="007169DD"/>
    <w:rsid w:val="00720A8A"/>
    <w:rsid w:val="007247D6"/>
    <w:rsid w:val="00724B72"/>
    <w:rsid w:val="0073148D"/>
    <w:rsid w:val="00733BB6"/>
    <w:rsid w:val="00742FC9"/>
    <w:rsid w:val="007448BA"/>
    <w:rsid w:val="00747AF9"/>
    <w:rsid w:val="00750AC1"/>
    <w:rsid w:val="00752943"/>
    <w:rsid w:val="0075413A"/>
    <w:rsid w:val="007558E6"/>
    <w:rsid w:val="007576B3"/>
    <w:rsid w:val="00761FC6"/>
    <w:rsid w:val="00764339"/>
    <w:rsid w:val="00765470"/>
    <w:rsid w:val="007659C2"/>
    <w:rsid w:val="00770900"/>
    <w:rsid w:val="007751F0"/>
    <w:rsid w:val="00775231"/>
    <w:rsid w:val="00777545"/>
    <w:rsid w:val="007864D9"/>
    <w:rsid w:val="00791689"/>
    <w:rsid w:val="0079220F"/>
    <w:rsid w:val="0079387B"/>
    <w:rsid w:val="007A2190"/>
    <w:rsid w:val="007A39FE"/>
    <w:rsid w:val="007A58DB"/>
    <w:rsid w:val="007A69EB"/>
    <w:rsid w:val="007B764C"/>
    <w:rsid w:val="007C1220"/>
    <w:rsid w:val="007C4889"/>
    <w:rsid w:val="007C6F26"/>
    <w:rsid w:val="007C70E6"/>
    <w:rsid w:val="007D0EDE"/>
    <w:rsid w:val="007D4AD8"/>
    <w:rsid w:val="007D7111"/>
    <w:rsid w:val="007E5156"/>
    <w:rsid w:val="007E55E2"/>
    <w:rsid w:val="007E6B7B"/>
    <w:rsid w:val="007E7AE9"/>
    <w:rsid w:val="007F550C"/>
    <w:rsid w:val="00807988"/>
    <w:rsid w:val="0081244A"/>
    <w:rsid w:val="00816AD9"/>
    <w:rsid w:val="00820772"/>
    <w:rsid w:val="0082081C"/>
    <w:rsid w:val="00823F30"/>
    <w:rsid w:val="0082739D"/>
    <w:rsid w:val="00827BC5"/>
    <w:rsid w:val="00830D2E"/>
    <w:rsid w:val="00834639"/>
    <w:rsid w:val="008355CF"/>
    <w:rsid w:val="00836093"/>
    <w:rsid w:val="0083659D"/>
    <w:rsid w:val="008448EB"/>
    <w:rsid w:val="008451FC"/>
    <w:rsid w:val="00864121"/>
    <w:rsid w:val="008655B9"/>
    <w:rsid w:val="008666BC"/>
    <w:rsid w:val="00876845"/>
    <w:rsid w:val="00877474"/>
    <w:rsid w:val="00881117"/>
    <w:rsid w:val="00881F27"/>
    <w:rsid w:val="008837F0"/>
    <w:rsid w:val="00883F64"/>
    <w:rsid w:val="00884C6E"/>
    <w:rsid w:val="00887112"/>
    <w:rsid w:val="00897804"/>
    <w:rsid w:val="008A0716"/>
    <w:rsid w:val="008A0A3E"/>
    <w:rsid w:val="008A17BD"/>
    <w:rsid w:val="008A612F"/>
    <w:rsid w:val="008A73AD"/>
    <w:rsid w:val="008B31EA"/>
    <w:rsid w:val="008B50EB"/>
    <w:rsid w:val="008B6D97"/>
    <w:rsid w:val="008C0F6D"/>
    <w:rsid w:val="008C28D6"/>
    <w:rsid w:val="008C3DCF"/>
    <w:rsid w:val="008C5EDF"/>
    <w:rsid w:val="008C6692"/>
    <w:rsid w:val="008D1DED"/>
    <w:rsid w:val="008D2E51"/>
    <w:rsid w:val="008D7E35"/>
    <w:rsid w:val="008E22E8"/>
    <w:rsid w:val="008E2B7B"/>
    <w:rsid w:val="008E47EF"/>
    <w:rsid w:val="008F06B3"/>
    <w:rsid w:val="008F295C"/>
    <w:rsid w:val="008F3DD4"/>
    <w:rsid w:val="008F4527"/>
    <w:rsid w:val="008F637C"/>
    <w:rsid w:val="00901CF8"/>
    <w:rsid w:val="00902195"/>
    <w:rsid w:val="00903566"/>
    <w:rsid w:val="00906659"/>
    <w:rsid w:val="00912893"/>
    <w:rsid w:val="00915774"/>
    <w:rsid w:val="009171D8"/>
    <w:rsid w:val="00921C19"/>
    <w:rsid w:val="009263F1"/>
    <w:rsid w:val="009300D8"/>
    <w:rsid w:val="00934F56"/>
    <w:rsid w:val="009357B6"/>
    <w:rsid w:val="0093665C"/>
    <w:rsid w:val="00937931"/>
    <w:rsid w:val="0094597A"/>
    <w:rsid w:val="00947B76"/>
    <w:rsid w:val="00952FF1"/>
    <w:rsid w:val="009555D4"/>
    <w:rsid w:val="009578D6"/>
    <w:rsid w:val="00957AED"/>
    <w:rsid w:val="00961676"/>
    <w:rsid w:val="009630C0"/>
    <w:rsid w:val="00963D02"/>
    <w:rsid w:val="00967F70"/>
    <w:rsid w:val="00970860"/>
    <w:rsid w:val="00971C5E"/>
    <w:rsid w:val="00974BB1"/>
    <w:rsid w:val="00976A03"/>
    <w:rsid w:val="00976D1C"/>
    <w:rsid w:val="00976E63"/>
    <w:rsid w:val="00982627"/>
    <w:rsid w:val="00983402"/>
    <w:rsid w:val="00983C85"/>
    <w:rsid w:val="0099006D"/>
    <w:rsid w:val="009A249E"/>
    <w:rsid w:val="009A7121"/>
    <w:rsid w:val="009B01AC"/>
    <w:rsid w:val="009B01F9"/>
    <w:rsid w:val="009B1752"/>
    <w:rsid w:val="009B187D"/>
    <w:rsid w:val="009B2A7A"/>
    <w:rsid w:val="009B4F98"/>
    <w:rsid w:val="009C0AC7"/>
    <w:rsid w:val="009D3848"/>
    <w:rsid w:val="009D4801"/>
    <w:rsid w:val="009D4AAF"/>
    <w:rsid w:val="009D688B"/>
    <w:rsid w:val="009E09D3"/>
    <w:rsid w:val="009E0B20"/>
    <w:rsid w:val="009E1CE4"/>
    <w:rsid w:val="009E45AE"/>
    <w:rsid w:val="009E7268"/>
    <w:rsid w:val="009F2A98"/>
    <w:rsid w:val="009F4031"/>
    <w:rsid w:val="009F7A90"/>
    <w:rsid w:val="00A023D5"/>
    <w:rsid w:val="00A0367E"/>
    <w:rsid w:val="00A05F46"/>
    <w:rsid w:val="00A117D4"/>
    <w:rsid w:val="00A213D2"/>
    <w:rsid w:val="00A221ED"/>
    <w:rsid w:val="00A2227A"/>
    <w:rsid w:val="00A25E7B"/>
    <w:rsid w:val="00A32412"/>
    <w:rsid w:val="00A332BE"/>
    <w:rsid w:val="00A33864"/>
    <w:rsid w:val="00A34805"/>
    <w:rsid w:val="00A40BD3"/>
    <w:rsid w:val="00A43776"/>
    <w:rsid w:val="00A4529D"/>
    <w:rsid w:val="00A45B27"/>
    <w:rsid w:val="00A4740B"/>
    <w:rsid w:val="00A5085F"/>
    <w:rsid w:val="00A524FF"/>
    <w:rsid w:val="00A5690B"/>
    <w:rsid w:val="00A56EF7"/>
    <w:rsid w:val="00A6457E"/>
    <w:rsid w:val="00A650A1"/>
    <w:rsid w:val="00A668D0"/>
    <w:rsid w:val="00A67EB8"/>
    <w:rsid w:val="00A71D2C"/>
    <w:rsid w:val="00A71E98"/>
    <w:rsid w:val="00A724D7"/>
    <w:rsid w:val="00A834B5"/>
    <w:rsid w:val="00A84BB8"/>
    <w:rsid w:val="00A84C74"/>
    <w:rsid w:val="00A91AED"/>
    <w:rsid w:val="00A91E3B"/>
    <w:rsid w:val="00A94090"/>
    <w:rsid w:val="00A94EE3"/>
    <w:rsid w:val="00A968A2"/>
    <w:rsid w:val="00A96A2C"/>
    <w:rsid w:val="00AA0ACD"/>
    <w:rsid w:val="00AA3C5F"/>
    <w:rsid w:val="00AB2D74"/>
    <w:rsid w:val="00AB3A5D"/>
    <w:rsid w:val="00AB5399"/>
    <w:rsid w:val="00AB7D20"/>
    <w:rsid w:val="00AC0056"/>
    <w:rsid w:val="00AC0DAA"/>
    <w:rsid w:val="00AC44E4"/>
    <w:rsid w:val="00AC5265"/>
    <w:rsid w:val="00AC5712"/>
    <w:rsid w:val="00AC5BAC"/>
    <w:rsid w:val="00AC65D9"/>
    <w:rsid w:val="00AC6808"/>
    <w:rsid w:val="00AC6C67"/>
    <w:rsid w:val="00AC6F55"/>
    <w:rsid w:val="00AD406B"/>
    <w:rsid w:val="00AD48F1"/>
    <w:rsid w:val="00AD54D6"/>
    <w:rsid w:val="00AE40EE"/>
    <w:rsid w:val="00AE4916"/>
    <w:rsid w:val="00AE6235"/>
    <w:rsid w:val="00AF4446"/>
    <w:rsid w:val="00B056CB"/>
    <w:rsid w:val="00B128E3"/>
    <w:rsid w:val="00B20452"/>
    <w:rsid w:val="00B20B5A"/>
    <w:rsid w:val="00B226FF"/>
    <w:rsid w:val="00B2602B"/>
    <w:rsid w:val="00B2623C"/>
    <w:rsid w:val="00B262B5"/>
    <w:rsid w:val="00B30C87"/>
    <w:rsid w:val="00B3240A"/>
    <w:rsid w:val="00B32E49"/>
    <w:rsid w:val="00B379A3"/>
    <w:rsid w:val="00B417BF"/>
    <w:rsid w:val="00B41EBD"/>
    <w:rsid w:val="00B42F59"/>
    <w:rsid w:val="00B446D0"/>
    <w:rsid w:val="00B46301"/>
    <w:rsid w:val="00B463D9"/>
    <w:rsid w:val="00B47A72"/>
    <w:rsid w:val="00B51FEB"/>
    <w:rsid w:val="00B55F0E"/>
    <w:rsid w:val="00B625E5"/>
    <w:rsid w:val="00B63953"/>
    <w:rsid w:val="00B6508F"/>
    <w:rsid w:val="00B72A7C"/>
    <w:rsid w:val="00B7636A"/>
    <w:rsid w:val="00B764BF"/>
    <w:rsid w:val="00B8017D"/>
    <w:rsid w:val="00B80783"/>
    <w:rsid w:val="00B86300"/>
    <w:rsid w:val="00B9040A"/>
    <w:rsid w:val="00B91E0E"/>
    <w:rsid w:val="00B956B1"/>
    <w:rsid w:val="00B97C3F"/>
    <w:rsid w:val="00BA1A3E"/>
    <w:rsid w:val="00BA3383"/>
    <w:rsid w:val="00BA3C23"/>
    <w:rsid w:val="00BA47CE"/>
    <w:rsid w:val="00BA58FC"/>
    <w:rsid w:val="00BA5CAC"/>
    <w:rsid w:val="00BA6338"/>
    <w:rsid w:val="00BA799D"/>
    <w:rsid w:val="00BB1D8F"/>
    <w:rsid w:val="00BB4135"/>
    <w:rsid w:val="00BB630F"/>
    <w:rsid w:val="00BC134C"/>
    <w:rsid w:val="00BC4DF4"/>
    <w:rsid w:val="00BD281D"/>
    <w:rsid w:val="00BD2849"/>
    <w:rsid w:val="00BD3EB8"/>
    <w:rsid w:val="00BD525E"/>
    <w:rsid w:val="00BD55AC"/>
    <w:rsid w:val="00BD5FF6"/>
    <w:rsid w:val="00BD791B"/>
    <w:rsid w:val="00BD7D05"/>
    <w:rsid w:val="00BE01A1"/>
    <w:rsid w:val="00BE2E93"/>
    <w:rsid w:val="00BE4FC0"/>
    <w:rsid w:val="00BE6214"/>
    <w:rsid w:val="00BE66BA"/>
    <w:rsid w:val="00BE7C44"/>
    <w:rsid w:val="00BF0999"/>
    <w:rsid w:val="00BF0BA3"/>
    <w:rsid w:val="00BF38E1"/>
    <w:rsid w:val="00BF4A9B"/>
    <w:rsid w:val="00BF55C1"/>
    <w:rsid w:val="00BF58B4"/>
    <w:rsid w:val="00BF75A4"/>
    <w:rsid w:val="00C02E40"/>
    <w:rsid w:val="00C0376F"/>
    <w:rsid w:val="00C04C4B"/>
    <w:rsid w:val="00C10380"/>
    <w:rsid w:val="00C14322"/>
    <w:rsid w:val="00C14A75"/>
    <w:rsid w:val="00C15A3D"/>
    <w:rsid w:val="00C216B4"/>
    <w:rsid w:val="00C219F4"/>
    <w:rsid w:val="00C24307"/>
    <w:rsid w:val="00C24B41"/>
    <w:rsid w:val="00C24DF0"/>
    <w:rsid w:val="00C32EE7"/>
    <w:rsid w:val="00C35323"/>
    <w:rsid w:val="00C37083"/>
    <w:rsid w:val="00C4028C"/>
    <w:rsid w:val="00C44D8D"/>
    <w:rsid w:val="00C50731"/>
    <w:rsid w:val="00C51217"/>
    <w:rsid w:val="00C51FE8"/>
    <w:rsid w:val="00C57923"/>
    <w:rsid w:val="00C60F76"/>
    <w:rsid w:val="00C64E17"/>
    <w:rsid w:val="00C655B4"/>
    <w:rsid w:val="00C65CBE"/>
    <w:rsid w:val="00C66297"/>
    <w:rsid w:val="00C72208"/>
    <w:rsid w:val="00C72AF1"/>
    <w:rsid w:val="00C73696"/>
    <w:rsid w:val="00C74B37"/>
    <w:rsid w:val="00C81B27"/>
    <w:rsid w:val="00C82ECA"/>
    <w:rsid w:val="00C85F8D"/>
    <w:rsid w:val="00C90572"/>
    <w:rsid w:val="00C95928"/>
    <w:rsid w:val="00CA11EB"/>
    <w:rsid w:val="00CA147F"/>
    <w:rsid w:val="00CA43ED"/>
    <w:rsid w:val="00CB07C0"/>
    <w:rsid w:val="00CB3921"/>
    <w:rsid w:val="00CC0111"/>
    <w:rsid w:val="00CC518C"/>
    <w:rsid w:val="00CC5C9D"/>
    <w:rsid w:val="00CC5FBC"/>
    <w:rsid w:val="00CC7437"/>
    <w:rsid w:val="00CD0C10"/>
    <w:rsid w:val="00CE41F2"/>
    <w:rsid w:val="00CE7E19"/>
    <w:rsid w:val="00CF014A"/>
    <w:rsid w:val="00CF1CE8"/>
    <w:rsid w:val="00CF2816"/>
    <w:rsid w:val="00D0155A"/>
    <w:rsid w:val="00D06ED7"/>
    <w:rsid w:val="00D0784D"/>
    <w:rsid w:val="00D12AFC"/>
    <w:rsid w:val="00D27F68"/>
    <w:rsid w:val="00D30282"/>
    <w:rsid w:val="00D30D7A"/>
    <w:rsid w:val="00D32E4C"/>
    <w:rsid w:val="00D34A35"/>
    <w:rsid w:val="00D400B9"/>
    <w:rsid w:val="00D41272"/>
    <w:rsid w:val="00D412B8"/>
    <w:rsid w:val="00D44200"/>
    <w:rsid w:val="00D470E8"/>
    <w:rsid w:val="00D4791A"/>
    <w:rsid w:val="00D47980"/>
    <w:rsid w:val="00D47B20"/>
    <w:rsid w:val="00D50AE3"/>
    <w:rsid w:val="00D50DFA"/>
    <w:rsid w:val="00D52BF2"/>
    <w:rsid w:val="00D52C2F"/>
    <w:rsid w:val="00D53B4A"/>
    <w:rsid w:val="00D6115C"/>
    <w:rsid w:val="00D637F1"/>
    <w:rsid w:val="00D64E3C"/>
    <w:rsid w:val="00D6618A"/>
    <w:rsid w:val="00D676C4"/>
    <w:rsid w:val="00D72302"/>
    <w:rsid w:val="00D74B20"/>
    <w:rsid w:val="00D80071"/>
    <w:rsid w:val="00D82D66"/>
    <w:rsid w:val="00D864FE"/>
    <w:rsid w:val="00D86EAE"/>
    <w:rsid w:val="00D87606"/>
    <w:rsid w:val="00D90CEB"/>
    <w:rsid w:val="00D912CD"/>
    <w:rsid w:val="00D922B8"/>
    <w:rsid w:val="00D96CAF"/>
    <w:rsid w:val="00D96E35"/>
    <w:rsid w:val="00DA637C"/>
    <w:rsid w:val="00DB0D73"/>
    <w:rsid w:val="00DB16B5"/>
    <w:rsid w:val="00DB6107"/>
    <w:rsid w:val="00DB6590"/>
    <w:rsid w:val="00DB6A25"/>
    <w:rsid w:val="00DB7E3F"/>
    <w:rsid w:val="00DC1F40"/>
    <w:rsid w:val="00DC47E1"/>
    <w:rsid w:val="00DC7BF9"/>
    <w:rsid w:val="00DD3FB6"/>
    <w:rsid w:val="00DD6EFF"/>
    <w:rsid w:val="00DE20B8"/>
    <w:rsid w:val="00DE4642"/>
    <w:rsid w:val="00DF36CD"/>
    <w:rsid w:val="00DF439B"/>
    <w:rsid w:val="00E00DDA"/>
    <w:rsid w:val="00E024E2"/>
    <w:rsid w:val="00E04C6A"/>
    <w:rsid w:val="00E05DE1"/>
    <w:rsid w:val="00E11301"/>
    <w:rsid w:val="00E1468E"/>
    <w:rsid w:val="00E146F0"/>
    <w:rsid w:val="00E14771"/>
    <w:rsid w:val="00E17D38"/>
    <w:rsid w:val="00E20AD6"/>
    <w:rsid w:val="00E24EB4"/>
    <w:rsid w:val="00E307E5"/>
    <w:rsid w:val="00E36351"/>
    <w:rsid w:val="00E36ADC"/>
    <w:rsid w:val="00E36B0D"/>
    <w:rsid w:val="00E4021B"/>
    <w:rsid w:val="00E47BA4"/>
    <w:rsid w:val="00E47D4D"/>
    <w:rsid w:val="00E53673"/>
    <w:rsid w:val="00E63E43"/>
    <w:rsid w:val="00E7100A"/>
    <w:rsid w:val="00E72767"/>
    <w:rsid w:val="00E76049"/>
    <w:rsid w:val="00E8060A"/>
    <w:rsid w:val="00E81953"/>
    <w:rsid w:val="00E81B21"/>
    <w:rsid w:val="00E8360F"/>
    <w:rsid w:val="00E8760C"/>
    <w:rsid w:val="00E9393F"/>
    <w:rsid w:val="00E941D1"/>
    <w:rsid w:val="00E94463"/>
    <w:rsid w:val="00E97D84"/>
    <w:rsid w:val="00EA10B8"/>
    <w:rsid w:val="00EA3FCF"/>
    <w:rsid w:val="00EA7C1A"/>
    <w:rsid w:val="00EB1663"/>
    <w:rsid w:val="00EC3126"/>
    <w:rsid w:val="00ED047B"/>
    <w:rsid w:val="00ED1A23"/>
    <w:rsid w:val="00EE0567"/>
    <w:rsid w:val="00EE628D"/>
    <w:rsid w:val="00EE6C5D"/>
    <w:rsid w:val="00EF0971"/>
    <w:rsid w:val="00EF09F6"/>
    <w:rsid w:val="00EF1BB2"/>
    <w:rsid w:val="00EF336D"/>
    <w:rsid w:val="00EF5EB2"/>
    <w:rsid w:val="00EF6EBD"/>
    <w:rsid w:val="00F026EC"/>
    <w:rsid w:val="00F03404"/>
    <w:rsid w:val="00F069C3"/>
    <w:rsid w:val="00F1111D"/>
    <w:rsid w:val="00F14B13"/>
    <w:rsid w:val="00F1696E"/>
    <w:rsid w:val="00F16CC4"/>
    <w:rsid w:val="00F17C45"/>
    <w:rsid w:val="00F17DC1"/>
    <w:rsid w:val="00F201F9"/>
    <w:rsid w:val="00F242FF"/>
    <w:rsid w:val="00F31C03"/>
    <w:rsid w:val="00F31C57"/>
    <w:rsid w:val="00F32EFD"/>
    <w:rsid w:val="00F4442F"/>
    <w:rsid w:val="00F46808"/>
    <w:rsid w:val="00F468C0"/>
    <w:rsid w:val="00F57559"/>
    <w:rsid w:val="00F61B71"/>
    <w:rsid w:val="00F64CBC"/>
    <w:rsid w:val="00F75A73"/>
    <w:rsid w:val="00F75E9C"/>
    <w:rsid w:val="00F80590"/>
    <w:rsid w:val="00F81145"/>
    <w:rsid w:val="00F81FF6"/>
    <w:rsid w:val="00FA0E7B"/>
    <w:rsid w:val="00FA4E3B"/>
    <w:rsid w:val="00FA5260"/>
    <w:rsid w:val="00FA68C5"/>
    <w:rsid w:val="00FA6D3B"/>
    <w:rsid w:val="00FB2340"/>
    <w:rsid w:val="00FB599E"/>
    <w:rsid w:val="00FB5B97"/>
    <w:rsid w:val="00FC0391"/>
    <w:rsid w:val="00FC4BF3"/>
    <w:rsid w:val="00FC732C"/>
    <w:rsid w:val="00FD2435"/>
    <w:rsid w:val="00FD47A9"/>
    <w:rsid w:val="00FD581A"/>
    <w:rsid w:val="00FD7242"/>
    <w:rsid w:val="00FD7F3D"/>
    <w:rsid w:val="00FE090E"/>
    <w:rsid w:val="00FE51C5"/>
    <w:rsid w:val="00FF00B4"/>
    <w:rsid w:val="00FF0BEA"/>
    <w:rsid w:val="00FF124D"/>
    <w:rsid w:val="00FF268E"/>
    <w:rsid w:val="00FF32C6"/>
    <w:rsid w:val="00FF3ADC"/>
    <w:rsid w:val="00FF4B42"/>
    <w:rsid w:val="00FF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F7B9"/>
  <w15:chartTrackingRefBased/>
  <w15:docId w15:val="{09217473-CE06-4A20-A55C-C854C29C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A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autoRedefine/>
    <w:uiPriority w:val="10"/>
    <w:qFormat/>
    <w:rsid w:val="003B138D"/>
    <w:pPr>
      <w:snapToGrid w:val="0"/>
      <w:spacing w:before="180" w:after="0" w:line="192" w:lineRule="auto"/>
      <w:contextualSpacing/>
    </w:pPr>
    <w:rPr>
      <w:rFonts w:ascii="Arial Black" w:eastAsiaTheme="majorEastAsia" w:hAnsi="Arial Black" w:cstheme="majorBidi"/>
      <w:b/>
      <w:color w:val="ED7D31" w:themeColor="accent2"/>
      <w:spacing w:val="-10"/>
      <w:kern w:val="28"/>
      <w:sz w:val="48"/>
      <w:szCs w:val="48"/>
    </w:rPr>
  </w:style>
  <w:style w:type="character" w:customStyle="1" w:styleId="TitleChar">
    <w:name w:val="Title Char"/>
    <w:basedOn w:val="DefaultParagraphFont"/>
    <w:link w:val="Title"/>
    <w:uiPriority w:val="10"/>
    <w:rsid w:val="003B138D"/>
    <w:rPr>
      <w:rFonts w:ascii="Arial Black" w:eastAsiaTheme="majorEastAsia" w:hAnsi="Arial Black" w:cstheme="majorBidi"/>
      <w:b/>
      <w:color w:val="ED7D31" w:themeColor="accent2"/>
      <w:spacing w:val="-10"/>
      <w:kern w:val="28"/>
      <w:sz w:val="48"/>
      <w:szCs w:val="48"/>
    </w:rPr>
  </w:style>
  <w:style w:type="table" w:styleId="TableGrid">
    <w:name w:val="Table Grid"/>
    <w:basedOn w:val="TableNormal"/>
    <w:uiPriority w:val="39"/>
    <w:rsid w:val="0006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39"/>
  </w:style>
  <w:style w:type="paragraph" w:styleId="Footer">
    <w:name w:val="footer"/>
    <w:basedOn w:val="Normal"/>
    <w:link w:val="FooterChar"/>
    <w:uiPriority w:val="99"/>
    <w:unhideWhenUsed/>
    <w:rsid w:val="00834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39"/>
  </w:style>
  <w:style w:type="character" w:styleId="Hyperlink">
    <w:name w:val="Hyperlink"/>
    <w:basedOn w:val="DefaultParagraphFont"/>
    <w:uiPriority w:val="99"/>
    <w:unhideWhenUsed/>
    <w:rsid w:val="00A96A2C"/>
    <w:rPr>
      <w:color w:val="0563C1" w:themeColor="hyperlink"/>
      <w:u w:val="single"/>
    </w:rPr>
  </w:style>
  <w:style w:type="character" w:styleId="UnresolvedMention">
    <w:name w:val="Unresolved Mention"/>
    <w:basedOn w:val="DefaultParagraphFont"/>
    <w:uiPriority w:val="99"/>
    <w:semiHidden/>
    <w:unhideWhenUsed/>
    <w:rsid w:val="00A96A2C"/>
    <w:rPr>
      <w:color w:val="605E5C"/>
      <w:shd w:val="clear" w:color="auto" w:fill="E1DFDD"/>
    </w:rPr>
  </w:style>
  <w:style w:type="paragraph" w:styleId="ListParagraph">
    <w:name w:val="List Paragraph"/>
    <w:basedOn w:val="Normal"/>
    <w:uiPriority w:val="34"/>
    <w:qFormat/>
    <w:rsid w:val="00BF38E1"/>
    <w:pPr>
      <w:ind w:left="720"/>
      <w:contextualSpacing/>
    </w:pPr>
  </w:style>
  <w:style w:type="paragraph" w:styleId="FootnoteText">
    <w:name w:val="footnote text"/>
    <w:basedOn w:val="Normal"/>
    <w:link w:val="FootnoteTextChar"/>
    <w:uiPriority w:val="99"/>
    <w:semiHidden/>
    <w:unhideWhenUsed/>
    <w:rsid w:val="00C655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5B4"/>
    <w:rPr>
      <w:sz w:val="20"/>
      <w:szCs w:val="20"/>
    </w:rPr>
  </w:style>
  <w:style w:type="character" w:styleId="FootnoteReference">
    <w:name w:val="footnote reference"/>
    <w:basedOn w:val="DefaultParagraphFont"/>
    <w:uiPriority w:val="99"/>
    <w:semiHidden/>
    <w:unhideWhenUsed/>
    <w:rsid w:val="00C655B4"/>
    <w:rPr>
      <w:vertAlign w:val="superscript"/>
    </w:rPr>
  </w:style>
  <w:style w:type="character" w:customStyle="1" w:styleId="normaltextrun">
    <w:name w:val="normaltextrun"/>
    <w:basedOn w:val="DefaultParagraphFont"/>
    <w:rsid w:val="005600D1"/>
  </w:style>
  <w:style w:type="character" w:customStyle="1" w:styleId="eop">
    <w:name w:val="eop"/>
    <w:basedOn w:val="DefaultParagraphFont"/>
    <w:rsid w:val="0056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1046">
      <w:bodyDiv w:val="1"/>
      <w:marLeft w:val="0"/>
      <w:marRight w:val="0"/>
      <w:marTop w:val="0"/>
      <w:marBottom w:val="0"/>
      <w:divBdr>
        <w:top w:val="none" w:sz="0" w:space="0" w:color="auto"/>
        <w:left w:val="none" w:sz="0" w:space="0" w:color="auto"/>
        <w:bottom w:val="none" w:sz="0" w:space="0" w:color="auto"/>
        <w:right w:val="none" w:sz="0" w:space="0" w:color="auto"/>
      </w:divBdr>
    </w:div>
    <w:div w:id="369378186">
      <w:bodyDiv w:val="1"/>
      <w:marLeft w:val="0"/>
      <w:marRight w:val="0"/>
      <w:marTop w:val="0"/>
      <w:marBottom w:val="0"/>
      <w:divBdr>
        <w:top w:val="none" w:sz="0" w:space="0" w:color="auto"/>
        <w:left w:val="none" w:sz="0" w:space="0" w:color="auto"/>
        <w:bottom w:val="none" w:sz="0" w:space="0" w:color="auto"/>
        <w:right w:val="none" w:sz="0" w:space="0" w:color="auto"/>
      </w:divBdr>
    </w:div>
    <w:div w:id="399985312">
      <w:bodyDiv w:val="1"/>
      <w:marLeft w:val="0"/>
      <w:marRight w:val="0"/>
      <w:marTop w:val="0"/>
      <w:marBottom w:val="0"/>
      <w:divBdr>
        <w:top w:val="none" w:sz="0" w:space="0" w:color="auto"/>
        <w:left w:val="none" w:sz="0" w:space="0" w:color="auto"/>
        <w:bottom w:val="none" w:sz="0" w:space="0" w:color="auto"/>
        <w:right w:val="none" w:sz="0" w:space="0" w:color="auto"/>
      </w:divBdr>
    </w:div>
    <w:div w:id="557056065">
      <w:bodyDiv w:val="1"/>
      <w:marLeft w:val="0"/>
      <w:marRight w:val="0"/>
      <w:marTop w:val="0"/>
      <w:marBottom w:val="0"/>
      <w:divBdr>
        <w:top w:val="none" w:sz="0" w:space="0" w:color="auto"/>
        <w:left w:val="none" w:sz="0" w:space="0" w:color="auto"/>
        <w:bottom w:val="none" w:sz="0" w:space="0" w:color="auto"/>
        <w:right w:val="none" w:sz="0" w:space="0" w:color="auto"/>
      </w:divBdr>
    </w:div>
    <w:div w:id="903249796">
      <w:bodyDiv w:val="1"/>
      <w:marLeft w:val="0"/>
      <w:marRight w:val="0"/>
      <w:marTop w:val="0"/>
      <w:marBottom w:val="0"/>
      <w:divBdr>
        <w:top w:val="none" w:sz="0" w:space="0" w:color="auto"/>
        <w:left w:val="none" w:sz="0" w:space="0" w:color="auto"/>
        <w:bottom w:val="none" w:sz="0" w:space="0" w:color="auto"/>
        <w:right w:val="none" w:sz="0" w:space="0" w:color="auto"/>
      </w:divBdr>
    </w:div>
    <w:div w:id="1080063187">
      <w:bodyDiv w:val="1"/>
      <w:marLeft w:val="0"/>
      <w:marRight w:val="0"/>
      <w:marTop w:val="0"/>
      <w:marBottom w:val="0"/>
      <w:divBdr>
        <w:top w:val="none" w:sz="0" w:space="0" w:color="auto"/>
        <w:left w:val="none" w:sz="0" w:space="0" w:color="auto"/>
        <w:bottom w:val="none" w:sz="0" w:space="0" w:color="auto"/>
        <w:right w:val="none" w:sz="0" w:space="0" w:color="auto"/>
      </w:divBdr>
    </w:div>
    <w:div w:id="1081296541">
      <w:bodyDiv w:val="1"/>
      <w:marLeft w:val="0"/>
      <w:marRight w:val="0"/>
      <w:marTop w:val="0"/>
      <w:marBottom w:val="0"/>
      <w:divBdr>
        <w:top w:val="none" w:sz="0" w:space="0" w:color="auto"/>
        <w:left w:val="none" w:sz="0" w:space="0" w:color="auto"/>
        <w:bottom w:val="none" w:sz="0" w:space="0" w:color="auto"/>
        <w:right w:val="none" w:sz="0" w:space="0" w:color="auto"/>
      </w:divBdr>
    </w:div>
    <w:div w:id="1151212410">
      <w:bodyDiv w:val="1"/>
      <w:marLeft w:val="0"/>
      <w:marRight w:val="0"/>
      <w:marTop w:val="0"/>
      <w:marBottom w:val="0"/>
      <w:divBdr>
        <w:top w:val="none" w:sz="0" w:space="0" w:color="auto"/>
        <w:left w:val="none" w:sz="0" w:space="0" w:color="auto"/>
        <w:bottom w:val="none" w:sz="0" w:space="0" w:color="auto"/>
        <w:right w:val="none" w:sz="0" w:space="0" w:color="auto"/>
      </w:divBdr>
    </w:div>
    <w:div w:id="1271626147">
      <w:bodyDiv w:val="1"/>
      <w:marLeft w:val="0"/>
      <w:marRight w:val="0"/>
      <w:marTop w:val="0"/>
      <w:marBottom w:val="0"/>
      <w:divBdr>
        <w:top w:val="none" w:sz="0" w:space="0" w:color="auto"/>
        <w:left w:val="none" w:sz="0" w:space="0" w:color="auto"/>
        <w:bottom w:val="none" w:sz="0" w:space="0" w:color="auto"/>
        <w:right w:val="none" w:sz="0" w:space="0" w:color="auto"/>
      </w:divBdr>
    </w:div>
    <w:div w:id="1649893934">
      <w:bodyDiv w:val="1"/>
      <w:marLeft w:val="0"/>
      <w:marRight w:val="0"/>
      <w:marTop w:val="0"/>
      <w:marBottom w:val="0"/>
      <w:divBdr>
        <w:top w:val="none" w:sz="0" w:space="0" w:color="auto"/>
        <w:left w:val="none" w:sz="0" w:space="0" w:color="auto"/>
        <w:bottom w:val="none" w:sz="0" w:space="0" w:color="auto"/>
        <w:right w:val="none" w:sz="0" w:space="0" w:color="auto"/>
      </w:divBdr>
    </w:div>
    <w:div w:id="1739012321">
      <w:bodyDiv w:val="1"/>
      <w:marLeft w:val="0"/>
      <w:marRight w:val="0"/>
      <w:marTop w:val="0"/>
      <w:marBottom w:val="0"/>
      <w:divBdr>
        <w:top w:val="none" w:sz="0" w:space="0" w:color="auto"/>
        <w:left w:val="none" w:sz="0" w:space="0" w:color="auto"/>
        <w:bottom w:val="none" w:sz="0" w:space="0" w:color="auto"/>
        <w:right w:val="none" w:sz="0" w:space="0" w:color="auto"/>
      </w:divBdr>
    </w:div>
    <w:div w:id="18045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ttc.org/Portals/0/Documents/Reports/2021/Global%20Economic%20Impact%20and%20Trends%202021.pdf?ver=2021-07-01-114957-177"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nwto.org/news/2020-worst-year-in-tourism-history-with-1-billion-fewer-international-arrivals"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ctad.org/system/files/official-document/ditcinf2021d3_en_0.pdf"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4F3A6CE927834FA5F933A7F5F16E10" ma:contentTypeVersion="11" ma:contentTypeDescription="Create a new document." ma:contentTypeScope="" ma:versionID="a853c21eaf2f921553b3e9df551efcc3">
  <xsd:schema xmlns:xsd="http://www.w3.org/2001/XMLSchema" xmlns:xs="http://www.w3.org/2001/XMLSchema" xmlns:p="http://schemas.microsoft.com/office/2006/metadata/properties" xmlns:ns3="86e29117-e53d-44f1-a240-6b819dd83995" xmlns:ns4="5183cafb-0ed2-4067-9527-fe42d5010cff" targetNamespace="http://schemas.microsoft.com/office/2006/metadata/properties" ma:root="true" ma:fieldsID="9af5fb38d9e0157795b31e66959ff897" ns3:_="" ns4:_="">
    <xsd:import namespace="86e29117-e53d-44f1-a240-6b819dd83995"/>
    <xsd:import namespace="5183cafb-0ed2-4067-9527-fe42d5010c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29117-e53d-44f1-a240-6b819dd83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83cafb-0ed2-4067-9527-fe42d5010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9ED7-8AC7-4055-83E7-23142589C7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25103A-AA03-4C38-BFF1-0089163CB0D5}">
  <ds:schemaRefs>
    <ds:schemaRef ds:uri="http://schemas.microsoft.com/sharepoint/v3/contenttype/forms"/>
  </ds:schemaRefs>
</ds:datastoreItem>
</file>

<file path=customXml/itemProps3.xml><?xml version="1.0" encoding="utf-8"?>
<ds:datastoreItem xmlns:ds="http://schemas.openxmlformats.org/officeDocument/2006/customXml" ds:itemID="{0F4AA2BC-BBCB-454F-835D-16B5E2AFD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29117-e53d-44f1-a240-6b819dd83995"/>
    <ds:schemaRef ds:uri="5183cafb-0ed2-4067-9527-fe42d5010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9F16E-B615-4368-B361-B01A96A1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22</Pages>
  <Words>5904</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39479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Maria Milesi-Ferretti</dc:creator>
  <cp:keywords/>
  <dc:description/>
  <cp:lastModifiedBy>Gian Maria Milesi-Ferretti</cp:lastModifiedBy>
  <cp:revision>114</cp:revision>
  <dcterms:created xsi:type="dcterms:W3CDTF">2021-07-29T15:47:00Z</dcterms:created>
  <dcterms:modified xsi:type="dcterms:W3CDTF">2021-07-29T21:09:00Z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0x010100874F3A6CE927834FA5F933A7F5F16E10</vt:lpwstr>
  </property>
</Properties>
</file>