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202C5" w14:textId="77777777" w:rsidR="00D34E34" w:rsidRDefault="00553A39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FE0244" wp14:editId="79A9A8D1">
            <wp:simplePos x="0" y="0"/>
            <wp:positionH relativeFrom="margin">
              <wp:posOffset>4494532</wp:posOffset>
            </wp:positionH>
            <wp:positionV relativeFrom="paragraph">
              <wp:posOffset>-1095378</wp:posOffset>
            </wp:positionV>
            <wp:extent cx="2015109" cy="1809753"/>
            <wp:effectExtent l="0" t="0" r="4191" b="0"/>
            <wp:wrapNone/>
            <wp:docPr id="1" name="Picture 1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5109" cy="18097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F80F92F" w14:textId="77777777" w:rsidR="00D34E34" w:rsidRDefault="00D34E34">
      <w:pPr>
        <w:jc w:val="center"/>
        <w:rPr>
          <w:rFonts w:ascii="Franklin Gothic Book" w:hAnsi="Franklin Gothic Book"/>
        </w:rPr>
      </w:pPr>
    </w:p>
    <w:p w14:paraId="41E47410" w14:textId="77777777" w:rsidR="00D34E34" w:rsidRDefault="00D34E34">
      <w:pPr>
        <w:jc w:val="center"/>
        <w:rPr>
          <w:rFonts w:ascii="Franklin Gothic Book" w:hAnsi="Franklin Gothic Book"/>
        </w:rPr>
      </w:pPr>
    </w:p>
    <w:p w14:paraId="74456A8B" w14:textId="77777777" w:rsidR="00D34E34" w:rsidRDefault="00D34E34">
      <w:pPr>
        <w:jc w:val="center"/>
        <w:rPr>
          <w:rFonts w:ascii="Franklin Gothic Book" w:hAnsi="Franklin Gothic Book"/>
        </w:rPr>
      </w:pPr>
    </w:p>
    <w:p w14:paraId="26154372" w14:textId="77777777" w:rsidR="00D34E34" w:rsidRDefault="00553A39">
      <w:pPr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General consent and procedure form</w:t>
      </w:r>
    </w:p>
    <w:p w14:paraId="18C92417" w14:textId="77777777" w:rsidR="00D34E34" w:rsidRDefault="00553A39">
      <w:p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Full Name:</w:t>
      </w:r>
    </w:p>
    <w:p w14:paraId="777A3841" w14:textId="77777777" w:rsidR="00D34E34" w:rsidRDefault="00553A39">
      <w:p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Please read these terms carefully and only sign if you agree with them.</w:t>
      </w:r>
    </w:p>
    <w:p w14:paraId="26CD14C5" w14:textId="77777777" w:rsidR="00D34E34" w:rsidRDefault="00553A39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Permanent cosmetics is a form of tattooing.</w:t>
      </w:r>
    </w:p>
    <w:p w14:paraId="24A2867C" w14:textId="77777777" w:rsidR="00D34E34" w:rsidRDefault="00553A39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 xml:space="preserve">Retouch procedure is required after the initial </w:t>
      </w:r>
      <w:r>
        <w:rPr>
          <w:rFonts w:ascii="Vijaya" w:hAnsi="Vijaya" w:cs="Vijaya"/>
          <w:sz w:val="28"/>
          <w:szCs w:val="28"/>
        </w:rPr>
        <w:t>appointment.</w:t>
      </w:r>
    </w:p>
    <w:p w14:paraId="0A0E1060" w14:textId="77777777" w:rsidR="00D34E34" w:rsidRDefault="00553A39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A healing period is needed 4-6 weeks after the first appointment to heal, before another top up can be completed.</w:t>
      </w:r>
    </w:p>
    <w:p w14:paraId="5896F7BC" w14:textId="77777777" w:rsidR="00D34E34" w:rsidRDefault="00553A39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On rare occasions the pigment may migrate under the skin.</w:t>
      </w:r>
    </w:p>
    <w:p w14:paraId="32AABE5D" w14:textId="77777777" w:rsidR="00D34E34" w:rsidRDefault="00553A39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Applications of permanent cosmetics may cause discomfort</w:t>
      </w:r>
    </w:p>
    <w:p w14:paraId="5B55D22C" w14:textId="77777777" w:rsidR="00D34E34" w:rsidRDefault="00553A39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The pigment ma</w:t>
      </w:r>
      <w:r>
        <w:rPr>
          <w:rFonts w:ascii="Vijaya" w:hAnsi="Vijaya" w:cs="Vijaya"/>
          <w:sz w:val="28"/>
          <w:szCs w:val="28"/>
        </w:rPr>
        <w:t>y fade over time</w:t>
      </w:r>
    </w:p>
    <w:p w14:paraId="066CBA67" w14:textId="77777777" w:rsidR="00D34E34" w:rsidRDefault="00553A39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Immediately after the procedure, the pigment can be 30-50% darker to desired result</w:t>
      </w:r>
    </w:p>
    <w:p w14:paraId="1437C1C9" w14:textId="77777777" w:rsidR="00D34E34" w:rsidRDefault="00553A39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There may be immediate or delayed allergic reactions to the pigment.</w:t>
      </w:r>
    </w:p>
    <w:p w14:paraId="3A11F09F" w14:textId="77777777" w:rsidR="00D34E34" w:rsidRDefault="00553A39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 xml:space="preserve">However, allergic reactions are rare. A negative patch test cannot guarantee that an </w:t>
      </w:r>
      <w:r>
        <w:rPr>
          <w:rFonts w:ascii="Vijaya" w:hAnsi="Vijaya" w:cs="Vijaya"/>
          <w:sz w:val="28"/>
          <w:szCs w:val="28"/>
        </w:rPr>
        <w:t>allergic reaction to the treatment during or after.</w:t>
      </w:r>
    </w:p>
    <w:p w14:paraId="5D48CADE" w14:textId="77777777" w:rsidR="00D34E34" w:rsidRDefault="00553A39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Infections can occur if aftercare is not followed correctly.</w:t>
      </w:r>
    </w:p>
    <w:p w14:paraId="4C9B8EF3" w14:textId="77777777" w:rsidR="00D34E34" w:rsidRDefault="00553A39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There may be swelling and redness after the procedure.</w:t>
      </w:r>
    </w:p>
    <w:p w14:paraId="06C7D420" w14:textId="77777777" w:rsidR="00D34E34" w:rsidRDefault="00553A39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You may experience bruising and bleeding</w:t>
      </w:r>
    </w:p>
    <w:p w14:paraId="3B218CEB" w14:textId="77777777" w:rsidR="00D34E34" w:rsidRDefault="00553A39">
      <w:pPr>
        <w:pStyle w:val="ListParagraph"/>
        <w:numPr>
          <w:ilvl w:val="0"/>
          <w:numId w:val="1"/>
        </w:num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If you have an MRI scan within 3 months of havi</w:t>
      </w:r>
      <w:r>
        <w:rPr>
          <w:rFonts w:ascii="Vijaya" w:hAnsi="Vijaya" w:cs="Vijaya"/>
          <w:sz w:val="28"/>
          <w:szCs w:val="28"/>
        </w:rPr>
        <w:t>ng the treatment, please inform them prior to the MRI as this can show as shadows as your results on the area being scanned.</w:t>
      </w:r>
    </w:p>
    <w:p w14:paraId="1127DD2E" w14:textId="77777777" w:rsidR="00D34E34" w:rsidRDefault="00D34E34">
      <w:pPr>
        <w:rPr>
          <w:rFonts w:ascii="Vijaya" w:hAnsi="Vijaya" w:cs="Vijaya"/>
          <w:sz w:val="28"/>
          <w:szCs w:val="28"/>
        </w:rPr>
      </w:pPr>
    </w:p>
    <w:p w14:paraId="415CDDF7" w14:textId="77777777" w:rsidR="00D34E34" w:rsidRDefault="00553A39">
      <w:pPr>
        <w:rPr>
          <w:rFonts w:ascii="Vijaya" w:hAnsi="Vijaya" w:cs="Vijaya"/>
          <w:sz w:val="28"/>
          <w:szCs w:val="28"/>
        </w:rPr>
      </w:pPr>
      <w:r>
        <w:rPr>
          <w:rFonts w:ascii="Vijaya" w:hAnsi="Vijaya" w:cs="Vijaya"/>
          <w:sz w:val="28"/>
          <w:szCs w:val="28"/>
        </w:rPr>
        <w:t>Signature:</w:t>
      </w:r>
    </w:p>
    <w:p w14:paraId="22BC25AC" w14:textId="77777777" w:rsidR="00D34E34" w:rsidRDefault="00553A39">
      <w:r>
        <w:rPr>
          <w:rFonts w:ascii="Vijaya" w:hAnsi="Vijaya" w:cs="Vijaya"/>
          <w:sz w:val="28"/>
          <w:szCs w:val="28"/>
        </w:rPr>
        <w:t>Date:</w:t>
      </w:r>
    </w:p>
    <w:sectPr w:rsidR="00D34E34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87DE0" w14:textId="77777777" w:rsidR="00553A39" w:rsidRDefault="00553A39">
      <w:pPr>
        <w:spacing w:after="0" w:line="240" w:lineRule="auto"/>
      </w:pPr>
      <w:r>
        <w:separator/>
      </w:r>
    </w:p>
  </w:endnote>
  <w:endnote w:type="continuationSeparator" w:id="0">
    <w:p w14:paraId="5231583D" w14:textId="77777777" w:rsidR="00553A39" w:rsidRDefault="00553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FD427" w14:textId="77777777" w:rsidR="00553A39" w:rsidRDefault="00553A3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15AA51E" w14:textId="77777777" w:rsidR="00553A39" w:rsidRDefault="00553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A36D5"/>
    <w:multiLevelType w:val="multilevel"/>
    <w:tmpl w:val="9DFA0EE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34E34"/>
    <w:rsid w:val="00553A39"/>
    <w:rsid w:val="00CB7EFF"/>
    <w:rsid w:val="00D3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CACC"/>
  <w15:docId w15:val="{801BC789-1AEB-4FD9-8AF9-66C1A140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poisonoussins2014@gmail.com</dc:creator>
  <dc:description/>
  <cp:lastModifiedBy>poisonoussins2014@gmail.com</cp:lastModifiedBy>
  <cp:revision>2</cp:revision>
  <dcterms:created xsi:type="dcterms:W3CDTF">2021-10-06T11:32:00Z</dcterms:created>
  <dcterms:modified xsi:type="dcterms:W3CDTF">2021-10-06T11:32:00Z</dcterms:modified>
</cp:coreProperties>
</file>