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2C44" w14:textId="666D0E24" w:rsidR="00DE4EB5" w:rsidRDefault="000A743A" w:rsidP="00DE4EB5">
      <w:pPr>
        <w:pStyle w:val="Title"/>
      </w:pPr>
      <w:r w:rsidRPr="000A743A">
        <w:t>Reframing ESG as Tangible Economic Inputs to Techno-Economic Analysis in Geothermal Projects</w:t>
      </w:r>
    </w:p>
    <w:p w14:paraId="5A373BFD" w14:textId="01287CEB" w:rsidR="004A109A" w:rsidRDefault="009E3D56">
      <w:pPr>
        <w:pStyle w:val="Author"/>
      </w:pPr>
      <w:r>
        <w:t>Tami Miguens</w:t>
      </w:r>
      <w:r w:rsidR="004E65FC" w:rsidRPr="00D37BA9">
        <w:rPr>
          <w:vertAlign w:val="superscript"/>
        </w:rPr>
        <w:t>1</w:t>
      </w:r>
      <w:r>
        <w:t>, Malcolm Ross</w:t>
      </w:r>
      <w:r w:rsidR="004E65FC" w:rsidRPr="00D37BA9">
        <w:rPr>
          <w:vertAlign w:val="superscript"/>
        </w:rPr>
        <w:t>2</w:t>
      </w:r>
      <w:r>
        <w:t>, Carmen Manning</w:t>
      </w:r>
      <w:r w:rsidR="004E65FC" w:rsidRPr="00D37BA9">
        <w:rPr>
          <w:vertAlign w:val="superscript"/>
        </w:rPr>
        <w:t>1</w:t>
      </w:r>
    </w:p>
    <w:p w14:paraId="1405439D" w14:textId="0392732E" w:rsidR="004A109A" w:rsidRDefault="004E65FC" w:rsidP="00CB378A">
      <w:pPr>
        <w:pStyle w:val="Address"/>
      </w:pPr>
      <w:r w:rsidRPr="00D37BA9">
        <w:rPr>
          <w:vertAlign w:val="superscript"/>
        </w:rPr>
        <w:t>1</w:t>
      </w:r>
      <w:r w:rsidR="00571443">
        <w:t>Eavor Technologies Inc.</w:t>
      </w:r>
      <w:r w:rsidR="004A109A">
        <w:t xml:space="preserve">, </w:t>
      </w:r>
      <w:r w:rsidRPr="00D37BA9">
        <w:rPr>
          <w:vertAlign w:val="superscript"/>
        </w:rPr>
        <w:t>2</w:t>
      </w:r>
      <w:r>
        <w:t>Heat in Motion, LLC</w:t>
      </w:r>
    </w:p>
    <w:p w14:paraId="28FF92B6" w14:textId="6FB8C98E" w:rsidR="004A109A" w:rsidRDefault="000A743A">
      <w:pPr>
        <w:pStyle w:val="Address"/>
      </w:pPr>
      <w:r>
        <w:t>tami.miguens@eavor.com</w:t>
      </w:r>
    </w:p>
    <w:p w14:paraId="6FAC1E31" w14:textId="77777777" w:rsidR="004A109A" w:rsidRDefault="004A109A"/>
    <w:p w14:paraId="390F21FB" w14:textId="70A4896D" w:rsidR="004A109A" w:rsidRDefault="004A109A" w:rsidP="00A40D0F">
      <w:r w:rsidRPr="00A93B17">
        <w:rPr>
          <w:b/>
        </w:rPr>
        <w:t>Keywords:</w:t>
      </w:r>
      <w:r>
        <w:t xml:space="preserve"> </w:t>
      </w:r>
      <w:r w:rsidR="007F5837">
        <w:t xml:space="preserve">ESG, TEA, </w:t>
      </w:r>
      <w:r w:rsidR="00BA6767">
        <w:t>Techno-economics</w:t>
      </w:r>
      <w:r w:rsidR="001F7814">
        <w:t>, Techno</w:t>
      </w:r>
      <w:r w:rsidR="00317F80">
        <w:t xml:space="preserve"> </w:t>
      </w:r>
      <w:r w:rsidR="00D34C9B">
        <w:t>Economic</w:t>
      </w:r>
      <w:r w:rsidR="001F7814">
        <w:t xml:space="preserve"> Analysis, Policy</w:t>
      </w:r>
      <w:r w:rsidR="0001303C">
        <w:t>, LCOE</w:t>
      </w:r>
    </w:p>
    <w:p w14:paraId="14976E7B" w14:textId="021C15ED" w:rsidR="004A109A" w:rsidRPr="002165F7" w:rsidRDefault="004A109A" w:rsidP="002165F7">
      <w:pPr>
        <w:pStyle w:val="Heading"/>
      </w:pPr>
      <w:r>
        <w:t>Abstract</w:t>
      </w:r>
    </w:p>
    <w:p w14:paraId="6B1881D2" w14:textId="47BE4A87" w:rsidR="0059502B" w:rsidRPr="008F227F" w:rsidRDefault="008D58D1" w:rsidP="00611684">
      <w:r w:rsidRPr="008D58D1">
        <w:t>This paper explores a novel approach to integrating Environmental, Social, and Governance (ESG) considerations into techno-economic analyses (TEA) of geothermal projects by assigning tangible, monetary values to ESG-related impacts. While ESG has become a prominent lens for evaluating project sustainability, its incorporation into TEA models remains largely qualitative, often relegated to risk factors or external narratives rather than being embedded directly in financial projections. This work proposes a conceptual framework for treating ESG element</w:t>
      </w:r>
      <w:r w:rsidR="004B2931">
        <w:t xml:space="preserve">s </w:t>
      </w:r>
      <w:r w:rsidRPr="008D58D1">
        <w:t>such as carbon credit revenues, renewable energy certificate (REC) trading, local economic stimulation, and idle capital opportunity cost</w:t>
      </w:r>
      <w:r w:rsidR="004B2931">
        <w:t xml:space="preserve">s </w:t>
      </w:r>
      <w:r w:rsidRPr="008D58D1">
        <w:t>as quantifiable economic inputs. While no single methodology is prescribed, the discussion highlights existing data on REC pricing, water shadow pricing, carbon pricing trajectories under the Output-Based Pricing System (OBPS), and labor market multipliers associated with drilling activity. By framing</w:t>
      </w:r>
      <w:r w:rsidR="004B2931">
        <w:t xml:space="preserve"> </w:t>
      </w:r>
      <w:r w:rsidRPr="008D58D1">
        <w:t xml:space="preserve">ESG not as an externality but as a set of internal cash flow modifiers, this study opens </w:t>
      </w:r>
      <w:r w:rsidR="004E65FC">
        <w:t>the way for a</w:t>
      </w:r>
      <w:r w:rsidRPr="008D58D1">
        <w:t xml:space="preserve"> more grounded, economically coherent </w:t>
      </w:r>
      <w:r w:rsidR="004E65FC">
        <w:t>analysis</w:t>
      </w:r>
      <w:r w:rsidR="004E65FC" w:rsidRPr="008D58D1">
        <w:t xml:space="preserve"> </w:t>
      </w:r>
      <w:r w:rsidRPr="008D58D1">
        <w:t xml:space="preserve">of </w:t>
      </w:r>
      <w:r w:rsidR="00912A67">
        <w:t xml:space="preserve">renewable </w:t>
      </w:r>
      <w:r w:rsidRPr="008D58D1">
        <w:t>energy project viability. The goal is to stimulate discourse and further research into standardized, regionally adapted methodologies that reconcile ESG goals with investor-grade economic modelling</w:t>
      </w:r>
      <w:r w:rsidR="00DF0455">
        <w:t xml:space="preserve"> through </w:t>
      </w:r>
      <w:r w:rsidR="001A2D86">
        <w:t>qua</w:t>
      </w:r>
      <w:r w:rsidR="00364AD1">
        <w:t>ntitative</w:t>
      </w:r>
      <w:r w:rsidR="001A2D86">
        <w:t xml:space="preserve"> values </w:t>
      </w:r>
      <w:r w:rsidR="00364AD1">
        <w:t>which can be directly compared.</w:t>
      </w:r>
    </w:p>
    <w:p w14:paraId="5257850A" w14:textId="6F1B9F88" w:rsidR="007E2A8B" w:rsidRDefault="005F5A66" w:rsidP="007E2A8B">
      <w:pPr>
        <w:pStyle w:val="Heading1"/>
      </w:pPr>
      <w:bookmarkStart w:id="0" w:name="_Ref457054287"/>
      <w:r>
        <w:t>Introduction</w:t>
      </w:r>
      <w:bookmarkEnd w:id="0"/>
    </w:p>
    <w:p w14:paraId="5D256536" w14:textId="1F62F6D5" w:rsidR="000B0B56" w:rsidRPr="000B0B56" w:rsidRDefault="000B0B56" w:rsidP="000B0B56">
      <w:pPr>
        <w:rPr>
          <w:lang w:val="en-CA"/>
        </w:rPr>
      </w:pPr>
      <w:r w:rsidRPr="000B0B56">
        <w:rPr>
          <w:lang w:val="en-CA"/>
        </w:rPr>
        <w:t>Techno-economic analysis (TEA) provides the foundational structure for evaluating energy projects by estimating capital costs, operating expenses, and expected output. Levelized Cost of Electricity (LCOE) has emerged as the dominant investor metric derived from TEA because it condenses project economics into a single value that determines commercial viability and guides capital deployment</w:t>
      </w:r>
      <w:r w:rsidR="00894089">
        <w:rPr>
          <w:lang w:val="en-CA"/>
        </w:rPr>
        <w:t xml:space="preserve"> (</w:t>
      </w:r>
      <w:r w:rsidR="00894089">
        <w:t>ECOFYS/Fraunhofer, 2014)</w:t>
      </w:r>
      <w:r w:rsidRPr="000B0B56">
        <w:rPr>
          <w:lang w:val="en-CA"/>
        </w:rPr>
        <w:t>. While effective for investor decision-making, this framework captures only the subset of economic drivers that directly translate into project cash flows. As a result, LCOE excludes a range of environmental and social impacts that materially influence the broader economic value of energy development.</w:t>
      </w:r>
      <w:r w:rsidR="008A3F4E">
        <w:rPr>
          <w:lang w:val="en-CA"/>
        </w:rPr>
        <w:t xml:space="preserve"> </w:t>
      </w:r>
    </w:p>
    <w:p w14:paraId="7EA8B27D" w14:textId="77777777" w:rsidR="000B0B56" w:rsidRPr="000B0B56" w:rsidRDefault="000B0B56" w:rsidP="000B0B56">
      <w:pPr>
        <w:rPr>
          <w:lang w:val="en-CA"/>
        </w:rPr>
      </w:pPr>
      <w:r w:rsidRPr="000B0B56">
        <w:rPr>
          <w:lang w:val="en-CA"/>
        </w:rPr>
        <w:t>In parallel, governments and public institutions often rely on measures of social welfare such as social net present value (social NPV) to assess community impact, environmental performance, and long-term societal benefit. These metrics capture effects that matter to policy and society, such as water savings, employment, and local economic stimulation, but they remain analytically isolated from investor-centric TEA. The result is a structural disconnect: LCOE drives investor decisions, social NPV drives policy expectations, and the two metrics remain economically unaligned. Technologies that deliver substantial societal benefit, including geothermal energy, frequently remain commercially marginal not because they lack value, but because their value cannot be expressed in investor-relevant terms.</w:t>
      </w:r>
    </w:p>
    <w:p w14:paraId="28D45880" w14:textId="77777777" w:rsidR="000B0B56" w:rsidRPr="000B0B56" w:rsidRDefault="000B0B56" w:rsidP="000B0B56">
      <w:pPr>
        <w:rPr>
          <w:lang w:val="en-CA"/>
        </w:rPr>
      </w:pPr>
      <w:r w:rsidRPr="000B0B56">
        <w:rPr>
          <w:lang w:val="en-CA"/>
        </w:rPr>
        <w:t>Geothermal development illustrates this divide clearly. Geothermal projects deliver quantifiable external benefits such as emissions avoidance, reduced freshwater demand, stable long-term employment, and utilization of underused drilling assets. These factors contribute meaningfully to regional economic performance and environmental outcomes, yet they do not appear in LCOE unless an explicit market-based incentive exists. At present, only a subset of ESG-related impacts, such as carbon credits or renewable certificate revenues, translate into actual revenue streams. Unpriced benefits remain stranded on the “policy side” of the analysis.</w:t>
      </w:r>
    </w:p>
    <w:p w14:paraId="75540056" w14:textId="7F87B461" w:rsidR="000B0B56" w:rsidRPr="000B0B56" w:rsidRDefault="000B0B56" w:rsidP="000B0B56">
      <w:pPr>
        <w:rPr>
          <w:lang w:val="en-CA"/>
        </w:rPr>
      </w:pPr>
      <w:r w:rsidRPr="000B0B56">
        <w:rPr>
          <w:lang w:val="en-CA"/>
        </w:rPr>
        <w:t xml:space="preserve">This paper does not propose replacing LCOE or subsuming social </w:t>
      </w:r>
      <w:r w:rsidR="003D43D6">
        <w:rPr>
          <w:lang w:val="en-CA"/>
        </w:rPr>
        <w:t>metrics</w:t>
      </w:r>
      <w:r w:rsidR="003D43D6" w:rsidRPr="000B0B56">
        <w:rPr>
          <w:lang w:val="en-CA"/>
        </w:rPr>
        <w:t xml:space="preserve"> </w:t>
      </w:r>
      <w:r w:rsidRPr="000B0B56">
        <w:rPr>
          <w:lang w:val="en-CA"/>
        </w:rPr>
        <w:t xml:space="preserve">into investor economics. Instead, it introduces a framework that </w:t>
      </w:r>
      <w:r w:rsidR="003D43D6">
        <w:rPr>
          <w:lang w:val="en-CA"/>
        </w:rPr>
        <w:t>quantifies non-priced ESG benefits in a form that can be converted</w:t>
      </w:r>
      <w:r w:rsidRPr="000B0B56">
        <w:rPr>
          <w:lang w:val="en-CA"/>
        </w:rPr>
        <w:t xml:space="preserve"> into investor</w:t>
      </w:r>
      <w:r w:rsidR="00594469">
        <w:rPr>
          <w:lang w:val="en-CA"/>
        </w:rPr>
        <w:t>-</w:t>
      </w:r>
      <w:r w:rsidRPr="000B0B56">
        <w:rPr>
          <w:lang w:val="en-CA"/>
        </w:rPr>
        <w:t xml:space="preserve">relevant units. By expressing both market-priced and non-priced ESG effects </w:t>
      </w:r>
      <w:r w:rsidR="003D43D6">
        <w:rPr>
          <w:lang w:val="en-CA"/>
        </w:rPr>
        <w:t xml:space="preserve">within a consistent, time-resolved economic framework, the framework equips investors with a tool to communicate to regulators exactly the level of incentive </w:t>
      </w:r>
      <w:r w:rsidRPr="000B0B56">
        <w:rPr>
          <w:lang w:val="en-CA"/>
        </w:rPr>
        <w:t xml:space="preserve">required to make a high social-value geothermal project financially viable. In this sense, the </w:t>
      </w:r>
      <w:r w:rsidRPr="000B0B56">
        <w:rPr>
          <w:lang w:val="en-CA"/>
        </w:rPr>
        <w:lastRenderedPageBreak/>
        <w:t xml:space="preserve">proposed approach operates as a translation layer between LCOE and social </w:t>
      </w:r>
      <w:r w:rsidR="003D43D6">
        <w:rPr>
          <w:lang w:val="en-CA"/>
        </w:rPr>
        <w:t>metrics</w:t>
      </w:r>
      <w:r w:rsidRPr="000B0B56">
        <w:rPr>
          <w:lang w:val="en-CA"/>
        </w:rPr>
        <w:t>: it reveals the magnitude of the unpriced benefits and demonstrates how they could be incorporated into cash flows if transformed into policy instruments such as water credits, labor credits, or other targeted incentives.</w:t>
      </w:r>
    </w:p>
    <w:p w14:paraId="6022E030" w14:textId="44A9CB1C" w:rsidR="007B61A7" w:rsidRPr="005A39BD" w:rsidRDefault="000B0B56" w:rsidP="007E2A8B">
      <w:pPr>
        <w:rPr>
          <w:lang w:val="en-CA"/>
        </w:rPr>
      </w:pPr>
      <w:r w:rsidRPr="000B0B56">
        <w:rPr>
          <w:lang w:val="en-CA"/>
        </w:rPr>
        <w:t xml:space="preserve">By reframing ESG factors in this way, TEA can more accurately reflect the full set of economic impacts associated with geothermal development, while maintaining a clear distinction between investor reality and societal value. The purpose of the framework is not to artificially lower LCOE, but to </w:t>
      </w:r>
      <w:r w:rsidR="000C5733">
        <w:rPr>
          <w:lang w:val="en-CA"/>
        </w:rPr>
        <w:t>accurate</w:t>
      </w:r>
      <w:r w:rsidR="003C2290">
        <w:rPr>
          <w:lang w:val="en-CA"/>
        </w:rPr>
        <w:t xml:space="preserve">ly capture </w:t>
      </w:r>
      <w:r w:rsidR="003D43D6">
        <w:rPr>
          <w:lang w:val="en-CA"/>
        </w:rPr>
        <w:t>existing material revenue streams and</w:t>
      </w:r>
      <w:r w:rsidR="003C2290">
        <w:rPr>
          <w:lang w:val="en-CA"/>
        </w:rPr>
        <w:t xml:space="preserve"> </w:t>
      </w:r>
      <w:r w:rsidRPr="000B0B56">
        <w:rPr>
          <w:lang w:val="en-CA"/>
        </w:rPr>
        <w:t>illuminate the policy gap that separates socially beneficial projects from commercial feasibility</w:t>
      </w:r>
      <w:r w:rsidR="003C2290">
        <w:rPr>
          <w:lang w:val="en-CA"/>
        </w:rPr>
        <w:t>. We aim</w:t>
      </w:r>
      <w:r w:rsidRPr="000B0B56">
        <w:rPr>
          <w:lang w:val="en-CA"/>
        </w:rPr>
        <w:t xml:space="preserve"> to provide a transparent, quantitative basis for designing incentives</w:t>
      </w:r>
      <w:r w:rsidR="003C2290">
        <w:rPr>
          <w:lang w:val="en-CA"/>
        </w:rPr>
        <w:t xml:space="preserve"> intentionally</w:t>
      </w:r>
      <w:r w:rsidRPr="000B0B56">
        <w:rPr>
          <w:lang w:val="en-CA"/>
        </w:rPr>
        <w:t xml:space="preserve"> </w:t>
      </w:r>
      <w:r w:rsidR="003C2290">
        <w:rPr>
          <w:lang w:val="en-CA"/>
        </w:rPr>
        <w:t>to</w:t>
      </w:r>
      <w:r w:rsidRPr="000B0B56">
        <w:rPr>
          <w:lang w:val="en-CA"/>
        </w:rPr>
        <w:t xml:space="preserve"> close </w:t>
      </w:r>
      <w:r>
        <w:rPr>
          <w:lang w:val="en-CA"/>
        </w:rPr>
        <w:t>the</w:t>
      </w:r>
      <w:r w:rsidRPr="000B0B56">
        <w:rPr>
          <w:lang w:val="en-CA"/>
        </w:rPr>
        <w:t xml:space="preserve"> gap.</w:t>
      </w:r>
    </w:p>
    <w:p w14:paraId="6CF4E4F2" w14:textId="5718315B" w:rsidR="006F2AA5" w:rsidRDefault="002E4714" w:rsidP="006F2AA5">
      <w:pPr>
        <w:pStyle w:val="Heading1"/>
      </w:pPr>
      <w:r>
        <w:t>BACKGROUND</w:t>
      </w:r>
    </w:p>
    <w:p w14:paraId="3BF2BEF6" w14:textId="39FD1B4E" w:rsidR="006F2AA5" w:rsidRDefault="006F2AA5" w:rsidP="006F2AA5">
      <w:pPr>
        <w:pStyle w:val="Heading2"/>
      </w:pPr>
      <w:r>
        <w:t>History of ESG Analysis</w:t>
      </w:r>
      <w:r w:rsidR="00FC12C3">
        <w:t xml:space="preserve"> </w:t>
      </w:r>
    </w:p>
    <w:p w14:paraId="5EFCDE90" w14:textId="2D0BC344" w:rsidR="00FF0FF5" w:rsidRDefault="00035A22" w:rsidP="00AF6F4A">
      <w:r w:rsidRPr="00035A22">
        <w:t>The modern conception of Environmental, Social, and Governance (ESG) performance as a business metric originated with the 2004 United Nations Global Compact report</w:t>
      </w:r>
      <w:r w:rsidR="003D43D6">
        <w:t>, “Who Cares Wins.”</w:t>
      </w:r>
      <w:r w:rsidRPr="00035A22">
        <w:t xml:space="preserve"> This report articulated, for the first time in a formal international context, a clear relationship between strong ESG performance and improved long-term financial returns. Following its publication, ESG analysis rapidly became an important tool for investors seeking to identify and mitigate project risk. As a result, firms demonstrating high ESG performance increasingly benefited from preferential lending terms, reduced insurance costs, and enhanced market valuations.</w:t>
      </w:r>
    </w:p>
    <w:p w14:paraId="50026347" w14:textId="49F49DF6" w:rsidR="00F44F6B" w:rsidRDefault="00175AA1" w:rsidP="00AF6F4A">
      <w:r>
        <w:t xml:space="preserve">Initially, </w:t>
      </w:r>
      <w:r w:rsidR="008F1890" w:rsidRPr="008F1890">
        <w:t xml:space="preserve">ESG performance at the project level was evaluated almost entirely through qualitative frameworks. These assessments relied on environmental and social impact studies, permitting reviews, community consultation records, and compliance with lender guidelines. Projects were categorized by perceived risk, but the ratings </w:t>
      </w:r>
      <w:r w:rsidR="00411247">
        <w:t xml:space="preserve">were </w:t>
      </w:r>
      <w:r w:rsidR="008F1890" w:rsidRPr="008F1890">
        <w:t xml:space="preserve">not </w:t>
      </w:r>
      <w:r w:rsidR="003D43D6">
        <w:t>standardized across projects</w:t>
      </w:r>
      <w:r w:rsidR="008F1890" w:rsidRPr="008F1890">
        <w:t xml:space="preserve">. In practice, ESG evaluation functioned as a narrative and compliance-driven exercise, shaping investor perception and </w:t>
      </w:r>
      <w:r w:rsidR="003D43D6">
        <w:t>due diligence</w:t>
      </w:r>
      <w:r w:rsidR="008F1890" w:rsidRPr="008F1890">
        <w:t xml:space="preserve"> requirements rather than producing a</w:t>
      </w:r>
      <w:r w:rsidR="00DE4E23">
        <w:t xml:space="preserve">n objective </w:t>
      </w:r>
      <w:r w:rsidR="008F1890" w:rsidRPr="008F1890">
        <w:t>score</w:t>
      </w:r>
      <w:r w:rsidR="00AA05C2">
        <w:t xml:space="preserve"> or recognizing material economic impact</w:t>
      </w:r>
      <w:r w:rsidR="008F1890" w:rsidRPr="008F1890">
        <w:t>.</w:t>
      </w:r>
    </w:p>
    <w:p w14:paraId="281C879C" w14:textId="24F598AC" w:rsidR="00AF6F4A" w:rsidRDefault="00201F82" w:rsidP="00AF6F4A">
      <w:pPr>
        <w:pStyle w:val="Heading2"/>
      </w:pPr>
      <w:r>
        <w:t>Levelized Cost of Electricity</w:t>
      </w:r>
    </w:p>
    <w:p w14:paraId="7F622915" w14:textId="485CB8DD" w:rsidR="00770D28" w:rsidRPr="00770D28" w:rsidRDefault="00770D28" w:rsidP="00770D28">
      <w:pPr>
        <w:rPr>
          <w:lang w:val="en-CA"/>
        </w:rPr>
      </w:pPr>
      <w:r w:rsidRPr="00770D28">
        <w:rPr>
          <w:lang w:val="en-CA"/>
        </w:rPr>
        <w:t>Levelized Cost of Electricity (LCOE) represents the average price at which electricity must be sold over a project’s lifetime to recover all capital, operating, and financing costs. It is widely used as an investor metric because it provides a single, comparable measure of cost across energy technologies</w:t>
      </w:r>
      <w:r w:rsidR="00057D94">
        <w:rPr>
          <w:lang w:val="en-CA"/>
        </w:rPr>
        <w:t xml:space="preserve"> (although the original authors of the technique discouraged such comparisons, they have become widely used)</w:t>
      </w:r>
      <w:r w:rsidRPr="00770D28">
        <w:rPr>
          <w:lang w:val="en-CA"/>
        </w:rPr>
        <w:t>. However, LCOE is constrained: it excludes both monetizable revenue streams, such as carbon credits or renewable energy certificates (RECs), and non-priced externalities with material economic impact. In practice, project finance already incorporates policy-driven revenues such as tax credits or production incentives by treating them as effective cost reductions. Monetized carbon offsets and RECs can be incorporated on the same basis when they are contractible and priced, since they function as predictable cash flows that reduce the net cost of energy.</w:t>
      </w:r>
    </w:p>
    <w:p w14:paraId="419D43C8" w14:textId="043E6DF6" w:rsidR="00113B5A" w:rsidRPr="008269AB" w:rsidRDefault="00770D28" w:rsidP="00F74731">
      <w:pPr>
        <w:rPr>
          <w:lang w:val="en-CA"/>
        </w:rPr>
      </w:pPr>
      <w:r w:rsidRPr="00770D28">
        <w:rPr>
          <w:lang w:val="en-CA"/>
        </w:rPr>
        <w:t>Recognizing that standard LCOE fails to capture system-level value, analysts introduced extensions such as LCOE-plus (Lazard</w:t>
      </w:r>
      <w:r w:rsidR="00C572B9">
        <w:rPr>
          <w:lang w:val="en-CA"/>
        </w:rPr>
        <w:t>,</w:t>
      </w:r>
      <w:r w:rsidRPr="00770D28">
        <w:rPr>
          <w:lang w:val="en-CA"/>
        </w:rPr>
        <w:t xml:space="preserve"> 2025)</w:t>
      </w:r>
      <w:r w:rsidR="00057D94">
        <w:rPr>
          <w:lang w:val="en-CA"/>
        </w:rPr>
        <w:t xml:space="preserve"> or VALCOE</w:t>
      </w:r>
      <w:r w:rsidR="00D51FCA">
        <w:rPr>
          <w:lang w:val="en-CA"/>
        </w:rPr>
        <w:t xml:space="preserve"> (Yang et al.</w:t>
      </w:r>
      <w:r w:rsidR="00191274">
        <w:rPr>
          <w:lang w:val="en-CA"/>
        </w:rPr>
        <w:t>,</w:t>
      </w:r>
      <w:r w:rsidR="00D51FCA">
        <w:rPr>
          <w:lang w:val="en-CA"/>
        </w:rPr>
        <w:t xml:space="preserve"> </w:t>
      </w:r>
      <w:r w:rsidR="0031730C">
        <w:rPr>
          <w:lang w:val="en-CA"/>
        </w:rPr>
        <w:t>2024)</w:t>
      </w:r>
      <w:r w:rsidRPr="00770D28">
        <w:rPr>
          <w:lang w:val="en-CA"/>
        </w:rPr>
        <w:t xml:space="preserve">, which incorporate factors </w:t>
      </w:r>
      <w:r w:rsidR="00C572B9">
        <w:rPr>
          <w:lang w:val="en-CA"/>
        </w:rPr>
        <w:t>such as</w:t>
      </w:r>
      <w:r w:rsidR="00C572B9" w:rsidRPr="00770D28">
        <w:rPr>
          <w:lang w:val="en-CA"/>
        </w:rPr>
        <w:t xml:space="preserve"> </w:t>
      </w:r>
      <w:r w:rsidRPr="00770D28">
        <w:rPr>
          <w:lang w:val="en-CA"/>
        </w:rPr>
        <w:t xml:space="preserve">storage value, intermittency, and grid integration costs. These adjustments improve competitiveness comparisons at the market scale but remain aggregated, high-level corrections. They do not integrate project-specific ESG benefits or </w:t>
      </w:r>
      <w:r w:rsidR="00C572B9">
        <w:rPr>
          <w:lang w:val="en-CA"/>
        </w:rPr>
        <w:t>region-specific externalities, nor do they bridge the gap between investor and societal-value metrics,</w:t>
      </w:r>
      <w:r w:rsidRPr="00770D28">
        <w:rPr>
          <w:lang w:val="en-CA"/>
        </w:rPr>
        <w:t xml:space="preserve"> such as social NPV. As a result, LCOE and social</w:t>
      </w:r>
      <w:r w:rsidR="00604A92">
        <w:rPr>
          <w:lang w:val="en-CA"/>
        </w:rPr>
        <w:t xml:space="preserve"> value </w:t>
      </w:r>
      <w:r w:rsidRPr="00770D28">
        <w:rPr>
          <w:lang w:val="en-CA"/>
        </w:rPr>
        <w:t>calculations continue to operate as separate, unaligned frameworks</w:t>
      </w:r>
      <w:r w:rsidR="00113B5A">
        <w:t>.</w:t>
      </w:r>
    </w:p>
    <w:p w14:paraId="375679A1" w14:textId="77777777" w:rsidR="008377AB" w:rsidRDefault="008377AB" w:rsidP="008377AB">
      <w:pPr>
        <w:pStyle w:val="Heading2"/>
      </w:pPr>
      <w:r>
        <w:t>Techno Socio-Economic Analysis (TSEA)</w:t>
      </w:r>
    </w:p>
    <w:p w14:paraId="241C3E17" w14:textId="1D5478A2" w:rsidR="00FF333A" w:rsidRPr="00FF333A" w:rsidRDefault="00FF333A" w:rsidP="00FF333A">
      <w:pPr>
        <w:rPr>
          <w:lang w:val="en-CA"/>
        </w:rPr>
      </w:pPr>
      <w:r w:rsidRPr="00FF333A">
        <w:rPr>
          <w:lang w:val="en-CA"/>
        </w:rPr>
        <w:t xml:space="preserve">Techno-Socio-Economic Assessment (TSEA) extends TEA by monetizing environmental and social impacts and incorporating them into a social net present value (social NPV). This structure is </w:t>
      </w:r>
      <w:r w:rsidR="00C572B9">
        <w:rPr>
          <w:lang w:val="en-CA"/>
        </w:rPr>
        <w:t>also helpful for policy evaluation</w:t>
      </w:r>
      <w:r w:rsidRPr="00FF333A">
        <w:rPr>
          <w:lang w:val="en-CA"/>
        </w:rPr>
        <w:t xml:space="preserve">, where welfare impacts such as job creation or emissions reduction are central. For example, Almena et al. (2025) demonstrate how including these factors can materially shift the perceived value of a </w:t>
      </w:r>
      <w:r w:rsidR="005D4A30" w:rsidRPr="00587CEE">
        <w:t>Bioenergy with Carbon Capture and Storage</w:t>
      </w:r>
      <w:r w:rsidR="005D4A30" w:rsidRPr="001957AF">
        <w:rPr>
          <w:lang w:val="en-CA"/>
        </w:rPr>
        <w:t xml:space="preserve"> </w:t>
      </w:r>
      <w:r w:rsidR="005D4A30">
        <w:rPr>
          <w:lang w:val="en-CA"/>
        </w:rPr>
        <w:t>(</w:t>
      </w:r>
      <w:r w:rsidRPr="00FF333A">
        <w:rPr>
          <w:lang w:val="en-CA"/>
        </w:rPr>
        <w:t>BECCS</w:t>
      </w:r>
      <w:r w:rsidR="005D4A30">
        <w:rPr>
          <w:lang w:val="en-CA"/>
        </w:rPr>
        <w:t>)</w:t>
      </w:r>
      <w:r w:rsidRPr="00FF333A">
        <w:rPr>
          <w:lang w:val="en-CA"/>
        </w:rPr>
        <w:t xml:space="preserve"> facility.</w:t>
      </w:r>
    </w:p>
    <w:p w14:paraId="0B84F64D" w14:textId="0CF2D0D6" w:rsidR="008377AB" w:rsidRPr="001A4421" w:rsidRDefault="00FF333A" w:rsidP="008377AB">
      <w:pPr>
        <w:rPr>
          <w:lang w:val="en-CA"/>
        </w:rPr>
      </w:pPr>
      <w:r w:rsidRPr="00FF333A">
        <w:rPr>
          <w:lang w:val="en-CA"/>
        </w:rPr>
        <w:t>However, TSEA outputs are not formatted in a way that aligns with investor metrics such as LCOE. Because social NPV does not translate directly into project cash flows, its results cannot be incorporated into investment decisions. For this reason, TSEA and TEA remain parallel but disconnected analytical frameworks. The present work draws on TSEA’s treatment of social benefits but adapts it to make those values compatible with the TEA structure introduced earlier.</w:t>
      </w:r>
    </w:p>
    <w:p w14:paraId="3CDD308E" w14:textId="0570370B" w:rsidR="00A136D3" w:rsidRDefault="00A136D3" w:rsidP="00A136D3">
      <w:pPr>
        <w:pStyle w:val="Heading2"/>
      </w:pPr>
      <w:r>
        <w:lastRenderedPageBreak/>
        <w:t xml:space="preserve">Social </w:t>
      </w:r>
      <w:r w:rsidR="003B02C2">
        <w:t>and</w:t>
      </w:r>
      <w:r>
        <w:t xml:space="preserve"> Market </w:t>
      </w:r>
      <w:r w:rsidR="003B02C2">
        <w:t xml:space="preserve">Discount </w:t>
      </w:r>
      <w:r w:rsidR="003173AF">
        <w:t>Rates</w:t>
      </w:r>
    </w:p>
    <w:p w14:paraId="18A900A1" w14:textId="4C60947D" w:rsidR="003B02C2" w:rsidRPr="003B02C2" w:rsidRDefault="00D21C36" w:rsidP="003B02C2">
      <w:r>
        <w:t xml:space="preserve">When considering how to value ESG drivers, </w:t>
      </w:r>
      <w:r w:rsidR="00CD5CAC">
        <w:t xml:space="preserve">several precedents </w:t>
      </w:r>
      <w:r w:rsidR="00AD540F">
        <w:t>support the approach of</w:t>
      </w:r>
      <w:r w:rsidR="00CD5CAC">
        <w:t xml:space="preserve"> </w:t>
      </w:r>
      <w:r w:rsidR="00C572B9">
        <w:t>uniquely discounting social benefits</w:t>
      </w:r>
      <w:r w:rsidR="00CD5CAC">
        <w:t xml:space="preserve">. </w:t>
      </w:r>
      <w:r w:rsidR="00566F81" w:rsidRPr="00566F81">
        <w:t>Market discount rates represent the opportunity cost of private capital and are derived from observable financing conditions, risk premia, and expected returns, while social discount rates reflect society’s valuation of future welfare, consumption, and environmental or intergenerational outcomes. This distinction is important for ESG</w:t>
      </w:r>
      <w:r w:rsidR="00B20967">
        <w:t xml:space="preserve"> economic </w:t>
      </w:r>
      <w:r w:rsidR="00F74E1F">
        <w:t>drivers</w:t>
      </w:r>
      <w:r w:rsidR="00B20967">
        <w:t xml:space="preserve"> as </w:t>
      </w:r>
      <w:r w:rsidR="008C64CD">
        <w:t xml:space="preserve">these </w:t>
      </w:r>
      <w:r w:rsidR="00F74E1F">
        <w:t>factors</w:t>
      </w:r>
      <w:r w:rsidR="00B20967">
        <w:t xml:space="preserve"> do not represent</w:t>
      </w:r>
      <w:r w:rsidR="00566F81" w:rsidRPr="00566F81">
        <w:t xml:space="preserve"> investor cash flows and align more naturally with the lower rates used in social appraisal. </w:t>
      </w:r>
      <w:r w:rsidR="00C572B9">
        <w:t>A</w:t>
      </w:r>
      <w:r w:rsidR="002B6D23" w:rsidRPr="002B6D23">
        <w:t xml:space="preserve"> distinct social discount rate is incorporated into the framework to ensure that </w:t>
      </w:r>
      <w:r w:rsidR="00C572B9">
        <w:t>higher market discount rates do not overshadow social value</w:t>
      </w:r>
      <w:r w:rsidR="000C5733">
        <w:t xml:space="preserve">. </w:t>
      </w:r>
      <w:r w:rsidR="003054A9">
        <w:t>Although social discount rates historically reflect welfare impacts rather than investor cash flows, the present analysis evaluates both interpretations to support the dual-outcome structure introduced later.</w:t>
      </w:r>
      <w:r w:rsidR="001C431C">
        <w:t xml:space="preserve"> Guidance for social discount rates can be found in </w:t>
      </w:r>
      <w:r w:rsidR="00C572B9">
        <w:t xml:space="preserve">the </w:t>
      </w:r>
      <w:r w:rsidR="001C431C">
        <w:t>public investment rationale (HM Treasury</w:t>
      </w:r>
      <w:r w:rsidR="00191274">
        <w:t>,</w:t>
      </w:r>
      <w:r w:rsidR="001C431C">
        <w:t xml:space="preserve"> 2022).</w:t>
      </w:r>
    </w:p>
    <w:p w14:paraId="12AF7FFF" w14:textId="25620490" w:rsidR="00EA2635" w:rsidRDefault="005C78F5" w:rsidP="00EA2635">
      <w:pPr>
        <w:pStyle w:val="Heading1"/>
      </w:pPr>
      <w:r>
        <w:t>CONCEPTUAL FRAMEWORK</w:t>
      </w:r>
    </w:p>
    <w:p w14:paraId="21B76B77" w14:textId="40964EC1" w:rsidR="00961267" w:rsidRDefault="00961267" w:rsidP="00961267">
      <w:r>
        <w:t>The energy industry, researchers</w:t>
      </w:r>
      <w:r w:rsidR="00C572B9">
        <w:t>,</w:t>
      </w:r>
      <w:r>
        <w:t xml:space="preserve"> and regulators have made significant progress in recent years </w:t>
      </w:r>
      <w:r w:rsidR="00C572B9">
        <w:t xml:space="preserve">toward objectively normalizing emerging and conventional technologies on a standardized </w:t>
      </w:r>
      <w:r>
        <w:t>scale through methods such as LCOE-plus and TSEA. As a natural next step</w:t>
      </w:r>
      <w:r w:rsidRPr="00DA7143">
        <w:t xml:space="preserve">, we propose </w:t>
      </w:r>
      <w:r w:rsidR="00C572B9">
        <w:t>applying the LCOE-plus concept at the project level and expanding it</w:t>
      </w:r>
      <w:r>
        <w:t xml:space="preserve"> to include monetizable ESG market factors.</w:t>
      </w:r>
    </w:p>
    <w:p w14:paraId="21491D56" w14:textId="615824B8" w:rsidR="00C166D5" w:rsidRPr="00961267" w:rsidRDefault="00C61BE6" w:rsidP="00961267">
      <w:r w:rsidRPr="00C61BE6">
        <w:t xml:space="preserve">In parallel, </w:t>
      </w:r>
      <w:r w:rsidR="006779E4">
        <w:t xml:space="preserve">to support alignment between project viability and societal benefit, we introduce an analytical tool </w:t>
      </w:r>
      <w:r w:rsidRPr="00C61BE6">
        <w:t>to explore the magnitude of new incentives required to internalize social value into project economics. These two outcomes together provide a clearer picture of both existing market-supported drivers and the potential pathways for integrating social welfare considerations into investor decision-making.</w:t>
      </w:r>
    </w:p>
    <w:p w14:paraId="62C08D7E" w14:textId="2A4E4F74" w:rsidR="00FC597D" w:rsidRDefault="0065348C" w:rsidP="00FF7DB9">
      <w:pPr>
        <w:pStyle w:val="Heading2"/>
      </w:pPr>
      <w:r>
        <w:t>Framework</w:t>
      </w:r>
      <w:r w:rsidR="00B6711C">
        <w:t xml:space="preserve"> Outcomes</w:t>
      </w:r>
    </w:p>
    <w:p w14:paraId="4377185D" w14:textId="436B8F86" w:rsidR="00B6711C" w:rsidRDefault="00B6711C" w:rsidP="00B6711C">
      <w:pPr>
        <w:pStyle w:val="Heading3"/>
      </w:pPr>
      <w:r>
        <w:t>Investor</w:t>
      </w:r>
      <w:r w:rsidR="00260345">
        <w:t xml:space="preserve"> Grade Economic Drivers</w:t>
      </w:r>
    </w:p>
    <w:p w14:paraId="262CB2BC" w14:textId="168846B9" w:rsidR="00F86135" w:rsidRPr="00F86135" w:rsidRDefault="00F86135" w:rsidP="00F86135">
      <w:r>
        <w:t>At the project level, localized</w:t>
      </w:r>
      <w:r w:rsidRPr="00DA7143">
        <w:t xml:space="preserve"> ESG factors can be quantified </w:t>
      </w:r>
      <w:r w:rsidR="00D443D0">
        <w:t>explicitly</w:t>
      </w:r>
      <w:r w:rsidRPr="00DA7143">
        <w:t>, enabling a more objective and context-appropriate assessment of levelized cost</w:t>
      </w:r>
      <w:r>
        <w:t xml:space="preserve"> for a specific opportunity. </w:t>
      </w:r>
      <w:r w:rsidRPr="004D38A0">
        <w:t xml:space="preserve">With </w:t>
      </w:r>
      <w:r w:rsidR="00986250">
        <w:t>project-level metrics that reflect region-specific conditions across</w:t>
      </w:r>
      <w:r w:rsidRPr="004D38A0">
        <w:t xml:space="preserve"> technologies, investors will </w:t>
      </w:r>
      <w:r>
        <w:t>be armed with more comprehensive</w:t>
      </w:r>
      <w:r w:rsidRPr="004D38A0">
        <w:t xml:space="preserve"> information to support balanced portfolio decisions</w:t>
      </w:r>
      <w:r>
        <w:t xml:space="preserve"> in practice.</w:t>
      </w:r>
    </w:p>
    <w:p w14:paraId="2B6143F5" w14:textId="0D85822F" w:rsidR="00EA2635" w:rsidRDefault="004D1E33" w:rsidP="004D1E33">
      <w:r w:rsidRPr="004D1E33">
        <w:t>Th</w:t>
      </w:r>
      <w:r w:rsidR="007E0740">
        <w:t>e</w:t>
      </w:r>
      <w:r w:rsidR="00EA7E7C">
        <w:t xml:space="preserve"> </w:t>
      </w:r>
      <w:r w:rsidR="007E0740">
        <w:t>proposed framework</w:t>
      </w:r>
      <w:r w:rsidRPr="004D1E33">
        <w:t xml:space="preserve"> adopts the underlying philosoph</w:t>
      </w:r>
      <w:r w:rsidR="00EB362E">
        <w:t>ies</w:t>
      </w:r>
      <w:r w:rsidRPr="004D1E33">
        <w:t xml:space="preserve"> of LCOE-plus</w:t>
      </w:r>
      <w:r w:rsidR="00EB362E">
        <w:t xml:space="preserve"> </w:t>
      </w:r>
      <w:r w:rsidRPr="004D1E33">
        <w:t xml:space="preserve">by incorporating material techno-economic factors into the discounted cashflow structure </w:t>
      </w:r>
      <w:r w:rsidR="00EF1A7B">
        <w:t>before</w:t>
      </w:r>
      <w:r w:rsidRPr="004D1E33">
        <w:t xml:space="preserve"> computing the levelized cost</w:t>
      </w:r>
      <w:r w:rsidR="00BE5EAE">
        <w:t>. I</w:t>
      </w:r>
      <w:r w:rsidRPr="004D1E33">
        <w:t xml:space="preserve">t advances the approach </w:t>
      </w:r>
      <w:r w:rsidR="00862B01">
        <w:t xml:space="preserve">further </w:t>
      </w:r>
      <w:r w:rsidRPr="004D1E33">
        <w:t>by embedding these factors as discrete, time-resolved parameters</w:t>
      </w:r>
      <w:r w:rsidR="00BE5EAE">
        <w:t xml:space="preserve"> rather than </w:t>
      </w:r>
      <w:r w:rsidR="00BE5EAE" w:rsidRPr="004D1E33">
        <w:t>aggregated adjustment terms</w:t>
      </w:r>
      <w:r w:rsidRPr="004D1E33">
        <w:t xml:space="preserve">. The framework presented here </w:t>
      </w:r>
      <w:r w:rsidR="00BE5EAE">
        <w:t xml:space="preserve">enables </w:t>
      </w:r>
      <w:r w:rsidRPr="004D1E33">
        <w:t xml:space="preserve">ESG </w:t>
      </w:r>
      <w:r w:rsidR="00D87129">
        <w:t>drivers</w:t>
      </w:r>
      <w:r w:rsidRPr="004D1E33">
        <w:t xml:space="preserve"> to function as first-class financial </w:t>
      </w:r>
      <w:r w:rsidR="001454BA">
        <w:t>modifiers</w:t>
      </w:r>
      <w:r w:rsidRPr="004D1E33">
        <w:t xml:space="preserve">. </w:t>
      </w:r>
    </w:p>
    <w:p w14:paraId="7343A8E0" w14:textId="0EB90F18" w:rsidR="007A0FD2" w:rsidRDefault="00143E92" w:rsidP="004D1E33">
      <w:r>
        <w:t>A</w:t>
      </w:r>
      <w:r w:rsidR="00BE5EAE">
        <w:t xml:space="preserve"> </w:t>
      </w:r>
      <w:r>
        <w:t>strength of the</w:t>
      </w:r>
      <w:r w:rsidR="00865855">
        <w:t xml:space="preserve"> proposed</w:t>
      </w:r>
      <w:r w:rsidR="00F04447">
        <w:t xml:space="preserve"> </w:t>
      </w:r>
      <w:r w:rsidR="00865855">
        <w:t>first-class</w:t>
      </w:r>
      <w:r w:rsidR="00F40CF3">
        <w:t xml:space="preserve"> approach</w:t>
      </w:r>
      <w:r w:rsidR="00F40CF3" w:rsidRPr="00F40CF3">
        <w:t xml:space="preserve"> is the enhanced traceability of assumptions, as ESG parameters are documented individually within each model. This granularity </w:t>
      </w:r>
      <w:r w:rsidR="00EF1A7B">
        <w:t>enables identifying the specific drivers of changes in project economics, evaluating the sensitivity of individual factors, and auditing the rationale for</w:t>
      </w:r>
      <w:r w:rsidR="00F40CF3" w:rsidRPr="00F40CF3">
        <w:t xml:space="preserve"> each adjustment. It also facilitates </w:t>
      </w:r>
      <w:r w:rsidR="00EF1A7B">
        <w:t>more transparent</w:t>
      </w:r>
      <w:r w:rsidR="00EF1A7B" w:rsidRPr="00F40CF3">
        <w:t xml:space="preserve"> </w:t>
      </w:r>
      <w:r w:rsidR="00F40CF3" w:rsidRPr="00F40CF3">
        <w:t xml:space="preserve">communication among stakeholders, enabling regulators, investors, and project developers to understand precisely how </w:t>
      </w:r>
      <w:r w:rsidR="00961267">
        <w:t>external revenue streams</w:t>
      </w:r>
      <w:r w:rsidR="00F40CF3" w:rsidRPr="00F40CF3">
        <w:t xml:space="preserve"> influence the overall </w:t>
      </w:r>
      <w:r w:rsidR="00D2647D">
        <w:t>economics</w:t>
      </w:r>
      <w:r w:rsidR="00F40CF3" w:rsidRPr="00F40CF3">
        <w:t>.</w:t>
      </w:r>
      <w:r w:rsidR="009F09F6" w:rsidRPr="009F09F6">
        <w:t xml:space="preserve"> </w:t>
      </w:r>
    </w:p>
    <w:p w14:paraId="7020A266" w14:textId="1FDE2026" w:rsidR="00B6711C" w:rsidRDefault="00260345" w:rsidP="00260345">
      <w:pPr>
        <w:pStyle w:val="Heading3"/>
      </w:pPr>
      <w:r>
        <w:t xml:space="preserve">Analytical </w:t>
      </w:r>
      <w:r w:rsidR="00F86135">
        <w:t>Insights for Policy Makers</w:t>
      </w:r>
    </w:p>
    <w:p w14:paraId="7AD1D9E8" w14:textId="3B0999F3" w:rsidR="005C00E7" w:rsidRPr="005C00E7" w:rsidRDefault="005C00E7" w:rsidP="005C00E7">
      <w:pPr>
        <w:rPr>
          <w:lang w:val="en-CA"/>
        </w:rPr>
      </w:pPr>
      <w:r>
        <w:rPr>
          <w:lang w:val="en-CA"/>
        </w:rPr>
        <w:t>T</w:t>
      </w:r>
      <w:r w:rsidRPr="005C00E7">
        <w:rPr>
          <w:lang w:val="en-CA"/>
        </w:rPr>
        <w:t xml:space="preserve">he framework </w:t>
      </w:r>
      <w:r>
        <w:rPr>
          <w:lang w:val="en-CA"/>
        </w:rPr>
        <w:t xml:space="preserve">also </w:t>
      </w:r>
      <w:r w:rsidR="008B2452">
        <w:rPr>
          <w:lang w:val="en-CA"/>
        </w:rPr>
        <w:t>yields a second analytical outcome relevant to</w:t>
      </w:r>
      <w:r w:rsidRPr="005C00E7">
        <w:rPr>
          <w:lang w:val="en-CA"/>
        </w:rPr>
        <w:t xml:space="preserve"> policy development. Social-value driver</w:t>
      </w:r>
      <w:r w:rsidR="00A348C8">
        <w:rPr>
          <w:lang w:val="en-CA"/>
        </w:rPr>
        <w:t>s</w:t>
      </w:r>
      <w:r>
        <w:rPr>
          <w:lang w:val="en-CA"/>
        </w:rPr>
        <w:t xml:space="preserve"> </w:t>
      </w:r>
      <w:r w:rsidRPr="005C00E7">
        <w:rPr>
          <w:lang w:val="en-CA"/>
        </w:rPr>
        <w:t xml:space="preserve">can be monetized and expressed on the same temporal basis as project cash flows. When combined with </w:t>
      </w:r>
      <w:r w:rsidR="008B2452">
        <w:rPr>
          <w:lang w:val="en-CA"/>
        </w:rPr>
        <w:t>investor-grade results, these values illustrate the scale of the incentive required to internalize societal benefits and achieve the</w:t>
      </w:r>
      <w:r w:rsidRPr="005C00E7">
        <w:rPr>
          <w:lang w:val="en-CA"/>
        </w:rPr>
        <w:t xml:space="preserve"> targeted LCOE.</w:t>
      </w:r>
    </w:p>
    <w:p w14:paraId="0F442766" w14:textId="7A63D538" w:rsidR="00F86135" w:rsidRPr="00F53C6D" w:rsidRDefault="005C00E7" w:rsidP="00F86135">
      <w:pPr>
        <w:rPr>
          <w:lang w:val="en-CA"/>
        </w:rPr>
      </w:pPr>
      <w:r w:rsidRPr="005C00E7">
        <w:rPr>
          <w:lang w:val="en-CA"/>
        </w:rPr>
        <w:t xml:space="preserve">This policy-oriented perspective is not presented as an investable metric. </w:t>
      </w:r>
      <w:r w:rsidR="008B2452">
        <w:rPr>
          <w:lang w:val="en-CA"/>
        </w:rPr>
        <w:t>Instead</w:t>
      </w:r>
      <w:r w:rsidRPr="005C00E7">
        <w:rPr>
          <w:lang w:val="en-CA"/>
        </w:rPr>
        <w:t xml:space="preserve">, it functions as a diagnostic tool that highlights where social value remains unpriced and quantifies the potential economic signals that could bridge the gap between social benefit and investor feasibility. In doing so, the framework provides a structured means for evaluating regulatory pathways that could support the deployment of </w:t>
      </w:r>
      <w:r w:rsidR="00F53C6D">
        <w:rPr>
          <w:lang w:val="en-CA"/>
        </w:rPr>
        <w:t>projects with both direct value to investors and broader societal value for a sustainable future.</w:t>
      </w:r>
    </w:p>
    <w:p w14:paraId="1ABB2BEE" w14:textId="77777777" w:rsidR="00DC3D1A" w:rsidRDefault="00DC3D1A" w:rsidP="00DC3D1A">
      <w:pPr>
        <w:pStyle w:val="Heading2"/>
      </w:pPr>
      <w:r>
        <w:lastRenderedPageBreak/>
        <w:t>Categories of ESG Financial Modifiers</w:t>
      </w:r>
    </w:p>
    <w:p w14:paraId="199106AE" w14:textId="1DE3BCE8" w:rsidR="00DC3D1A" w:rsidRPr="00AF6F4A" w:rsidRDefault="00DC3D1A" w:rsidP="00DC3D1A">
      <w:r>
        <w:t xml:space="preserve">In </w:t>
      </w:r>
      <w:r w:rsidR="00FF7DB9">
        <w:t>conventional</w:t>
      </w:r>
      <w:r>
        <w:t xml:space="preserve"> ESG assessments, qualitative scoring of energy projects may consider the following categories of factors</w:t>
      </w:r>
      <w:r w:rsidR="00CE213D">
        <w:t xml:space="preserve"> (which can be extended with this methodology if other categories can be identified and quantified as critical to stakeholders)</w:t>
      </w:r>
      <w:r>
        <w:t>:</w:t>
      </w:r>
    </w:p>
    <w:p w14:paraId="6BBA040B" w14:textId="77777777" w:rsidR="00DC3D1A" w:rsidRDefault="00DC3D1A" w:rsidP="00DC3D1A">
      <w:pPr>
        <w:pStyle w:val="ListParagraph"/>
        <w:numPr>
          <w:ilvl w:val="0"/>
          <w:numId w:val="22"/>
        </w:numPr>
        <w:rPr>
          <w:lang w:val="en-CA"/>
        </w:rPr>
      </w:pPr>
      <w:r>
        <w:rPr>
          <w:lang w:val="en-CA"/>
        </w:rPr>
        <w:t>C</w:t>
      </w:r>
      <w:r w:rsidRPr="006F2AA5">
        <w:rPr>
          <w:lang w:val="en-CA"/>
        </w:rPr>
        <w:t>arbon pricing and credit revenues</w:t>
      </w:r>
    </w:p>
    <w:p w14:paraId="5A3A1B19" w14:textId="77777777" w:rsidR="00DC3D1A" w:rsidRPr="006F2AA5" w:rsidRDefault="00DC3D1A" w:rsidP="00DC3D1A">
      <w:pPr>
        <w:pStyle w:val="ListParagraph"/>
        <w:numPr>
          <w:ilvl w:val="0"/>
          <w:numId w:val="22"/>
        </w:numPr>
        <w:rPr>
          <w:lang w:val="en-CA"/>
        </w:rPr>
      </w:pPr>
      <w:r>
        <w:rPr>
          <w:lang w:val="en-CA"/>
        </w:rPr>
        <w:t>Renewable certificate revenues</w:t>
      </w:r>
    </w:p>
    <w:p w14:paraId="022E66BA" w14:textId="42490869" w:rsidR="00DC3D1A" w:rsidRPr="006F2AA5" w:rsidRDefault="00DC3D1A" w:rsidP="00DC3D1A">
      <w:pPr>
        <w:pStyle w:val="ListParagraph"/>
        <w:numPr>
          <w:ilvl w:val="0"/>
          <w:numId w:val="22"/>
        </w:numPr>
        <w:rPr>
          <w:lang w:val="en-CA"/>
        </w:rPr>
      </w:pPr>
      <w:r>
        <w:rPr>
          <w:lang w:val="en-CA"/>
        </w:rPr>
        <w:t>Resource</w:t>
      </w:r>
      <w:r w:rsidRPr="006F2AA5">
        <w:rPr>
          <w:lang w:val="en-CA"/>
        </w:rPr>
        <w:t xml:space="preserve"> </w:t>
      </w:r>
      <w:r>
        <w:rPr>
          <w:lang w:val="en-CA"/>
        </w:rPr>
        <w:t>usage offset (water)</w:t>
      </w:r>
    </w:p>
    <w:p w14:paraId="49279C7A" w14:textId="62F7AC4B" w:rsidR="00DC3D1A" w:rsidRPr="006F2AA5" w:rsidRDefault="00DC3D1A" w:rsidP="00DC3D1A">
      <w:pPr>
        <w:pStyle w:val="ListParagraph"/>
        <w:numPr>
          <w:ilvl w:val="0"/>
          <w:numId w:val="22"/>
        </w:numPr>
        <w:rPr>
          <w:lang w:val="en-CA"/>
        </w:rPr>
      </w:pPr>
      <w:r w:rsidRPr="006F2AA5">
        <w:rPr>
          <w:lang w:val="en-CA"/>
        </w:rPr>
        <w:t xml:space="preserve">Idle </w:t>
      </w:r>
      <w:r w:rsidR="00CE213D">
        <w:rPr>
          <w:lang w:val="en-CA"/>
        </w:rPr>
        <w:t>capital/opportunity</w:t>
      </w:r>
      <w:r w:rsidRPr="006F2AA5">
        <w:rPr>
          <w:lang w:val="en-CA"/>
        </w:rPr>
        <w:t xml:space="preserve"> cost multipliers</w:t>
      </w:r>
    </w:p>
    <w:p w14:paraId="0FAAC2ED" w14:textId="77777777" w:rsidR="00DC3D1A" w:rsidRDefault="00DC3D1A" w:rsidP="00DC3D1A">
      <w:pPr>
        <w:pStyle w:val="ListParagraph"/>
        <w:numPr>
          <w:ilvl w:val="0"/>
          <w:numId w:val="22"/>
        </w:numPr>
        <w:rPr>
          <w:lang w:val="en-CA"/>
        </w:rPr>
      </w:pPr>
      <w:r w:rsidRPr="006F2AA5">
        <w:rPr>
          <w:lang w:val="en-CA"/>
        </w:rPr>
        <w:t>Local economic stimulus</w:t>
      </w:r>
    </w:p>
    <w:p w14:paraId="2504B6F8" w14:textId="6247E300" w:rsidR="00DC3D1A" w:rsidRDefault="00DC3D1A" w:rsidP="00DC3D1A">
      <w:pPr>
        <w:rPr>
          <w:lang w:val="en-CA"/>
        </w:rPr>
      </w:pPr>
      <w:r>
        <w:rPr>
          <w:lang w:val="en-CA"/>
        </w:rPr>
        <w:t xml:space="preserve">These ESG assessment categories </w:t>
      </w:r>
      <w:r w:rsidR="00CE213D">
        <w:rPr>
          <w:lang w:val="en-CA"/>
        </w:rPr>
        <w:t xml:space="preserve">serve as a guideline for developing quantifiable parameters that demonstrate the investor-grade ESG-TEA framework </w:t>
      </w:r>
      <w:r>
        <w:rPr>
          <w:lang w:val="en-CA"/>
        </w:rPr>
        <w:t>described below. Tax credits and other direct financial incentives associated with renewable projects are not listed, as these benefits are typically already included in standard TEA analysis for energy projects.</w:t>
      </w:r>
    </w:p>
    <w:p w14:paraId="461E7D56" w14:textId="1348C48E" w:rsidR="00DC3D1A" w:rsidRPr="00DC3D1A" w:rsidRDefault="00CE213D" w:rsidP="000D3A96">
      <w:pPr>
        <w:rPr>
          <w:lang w:val="en-CA"/>
        </w:rPr>
      </w:pPr>
      <w:r>
        <w:t xml:space="preserve">Examples of categories </w:t>
      </w:r>
      <w:r w:rsidR="0065057B">
        <w:t xml:space="preserve">not included in this calculation but that could be considered </w:t>
      </w:r>
      <w:r>
        <w:t xml:space="preserve">important policy drivers include </w:t>
      </w:r>
      <w:r w:rsidR="00062CA7">
        <w:t>the</w:t>
      </w:r>
      <w:r>
        <w:t xml:space="preserve"> contribution </w:t>
      </w:r>
      <w:r w:rsidR="00062CA7">
        <w:t xml:space="preserve">of geothermal </w:t>
      </w:r>
      <w:r>
        <w:t>to a national goal of baseload energy independence. Another category that is not quantified in conventional investor frameworks is the degree of non-technical risk</w:t>
      </w:r>
      <w:r w:rsidR="00DC3D1A" w:rsidRPr="0059255A">
        <w:t>. Although the literature contains occasional references to resilience and security of supply as decision considerations, these concepts are not included in established ESG methodologies and therefore are not incorporated into the present analysis</w:t>
      </w:r>
      <w:r w:rsidR="00DC3D1A">
        <w:t xml:space="preserve"> (p</w:t>
      </w:r>
      <w:r w:rsidR="00DC3D1A" w:rsidRPr="0059255A">
        <w:t>rior work does not provide a basis for monetizing this benefit, which places it outside the scope of this study</w:t>
      </w:r>
      <w:r w:rsidR="00DC3D1A">
        <w:t>)</w:t>
      </w:r>
      <w:r w:rsidR="00DC3D1A" w:rsidRPr="0059255A">
        <w:t xml:space="preserve">. Energy independence </w:t>
      </w:r>
      <w:r w:rsidR="00DC3D1A">
        <w:t>is an urgent driver</w:t>
      </w:r>
      <w:r w:rsidR="00DC3D1A" w:rsidRPr="0059255A">
        <w:t xml:space="preserve"> influencing </w:t>
      </w:r>
      <w:r w:rsidR="00DC3D1A">
        <w:t>energy</w:t>
      </w:r>
      <w:r w:rsidR="00DC3D1A" w:rsidRPr="0059255A">
        <w:t xml:space="preserve"> </w:t>
      </w:r>
      <w:r w:rsidR="00DC3D1A">
        <w:t>market development</w:t>
      </w:r>
      <w:r w:rsidR="00DC3D1A" w:rsidRPr="0059255A">
        <w:t xml:space="preserve">, and further </w:t>
      </w:r>
      <w:r w:rsidR="00DC3D1A">
        <w:t>exploration</w:t>
      </w:r>
      <w:r w:rsidR="00DC3D1A" w:rsidRPr="0059255A">
        <w:t xml:space="preserve"> of methods to quantify this contribution would strengthen both policy and investment evaluations.</w:t>
      </w:r>
    </w:p>
    <w:p w14:paraId="08574958" w14:textId="77768391" w:rsidR="00EA2635" w:rsidRDefault="00EA2635" w:rsidP="00EA2635">
      <w:pPr>
        <w:pStyle w:val="Heading2"/>
      </w:pPr>
      <w:r>
        <w:t xml:space="preserve">ESG </w:t>
      </w:r>
      <w:r w:rsidR="0071043C">
        <w:t>Parameterization</w:t>
      </w:r>
    </w:p>
    <w:p w14:paraId="67ECBF66" w14:textId="29353F3F" w:rsidR="00A7179E" w:rsidRPr="00603C05" w:rsidRDefault="00862EFA" w:rsidP="00603C05">
      <w:pPr>
        <w:rPr>
          <w:lang w:val="en-CA"/>
        </w:rPr>
      </w:pPr>
      <w:r w:rsidRPr="00862EFA">
        <w:t xml:space="preserve">The </w:t>
      </w:r>
      <w:r w:rsidR="00EF2D01">
        <w:t>drivers</w:t>
      </w:r>
      <w:r w:rsidRPr="00862EFA">
        <w:t xml:space="preserve"> introduced in the following section </w:t>
      </w:r>
      <w:r w:rsidR="000865A9">
        <w:t>illustrate</w:t>
      </w:r>
      <w:r w:rsidRPr="00862EFA">
        <w:t xml:space="preserve"> how </w:t>
      </w:r>
      <w:r w:rsidR="005B4FCC">
        <w:t>the</w:t>
      </w:r>
      <w:r w:rsidR="00EF2D01">
        <w:t xml:space="preserve"> proposed</w:t>
      </w:r>
      <w:r w:rsidR="005B4FCC">
        <w:t xml:space="preserve"> </w:t>
      </w:r>
      <w:r w:rsidR="00B64404">
        <w:t>ESG-TEA</w:t>
      </w:r>
      <w:r w:rsidRPr="00862EFA">
        <w:t xml:space="preserve"> approach can be applied in practic</w:t>
      </w:r>
      <w:r w:rsidR="00EF2D01">
        <w:t>e</w:t>
      </w:r>
      <w:r w:rsidRPr="00862EFA">
        <w:t xml:space="preserve">, though they are intended to </w:t>
      </w:r>
      <w:r w:rsidR="0065057B">
        <w:t>demonstrate</w:t>
      </w:r>
      <w:r w:rsidR="000865A9">
        <w:t xml:space="preserve"> useful patterns </w:t>
      </w:r>
      <w:r w:rsidRPr="00862EFA">
        <w:t>rather than</w:t>
      </w:r>
      <w:r w:rsidR="00381B39">
        <w:t xml:space="preserve"> </w:t>
      </w:r>
      <w:r w:rsidR="00E814F8">
        <w:t xml:space="preserve">represent </w:t>
      </w:r>
      <w:r w:rsidR="007C6623">
        <w:t xml:space="preserve">an </w:t>
      </w:r>
      <w:r w:rsidR="00381B39">
        <w:t>exhaustive</w:t>
      </w:r>
      <w:r w:rsidR="007C6623">
        <w:t xml:space="preserve"> set</w:t>
      </w:r>
      <w:r w:rsidRPr="00862EFA">
        <w:t>.</w:t>
      </w:r>
      <w:r w:rsidR="00EF2D01">
        <w:t xml:space="preserve"> </w:t>
      </w:r>
      <w:r w:rsidR="00F41183" w:rsidRPr="00F41183">
        <w:t xml:space="preserve">Each parameter is informed by earlier work </w:t>
      </w:r>
      <w:r w:rsidR="005F76AA">
        <w:t>exploring</w:t>
      </w:r>
      <w:r w:rsidR="00F41183" w:rsidRPr="00F41183">
        <w:t xml:space="preserve"> </w:t>
      </w:r>
      <w:r w:rsidR="0065057B">
        <w:t>the</w:t>
      </w:r>
      <w:r w:rsidR="00E814F8">
        <w:t xml:space="preserve"> </w:t>
      </w:r>
      <w:r w:rsidR="00F41183" w:rsidRPr="00F41183">
        <w:t xml:space="preserve">economic advantages of geothermal energy and is accompanied by a proposed method for </w:t>
      </w:r>
      <w:r w:rsidR="00F04E5B">
        <w:t>monetizing</w:t>
      </w:r>
      <w:r w:rsidR="00F41183" w:rsidRPr="00F41183">
        <w:t xml:space="preserve"> its contribution or offset</w:t>
      </w:r>
      <w:r w:rsidR="00252541">
        <w:t>.</w:t>
      </w:r>
      <w:r w:rsidR="00D163E3">
        <w:t xml:space="preserve"> </w:t>
      </w:r>
      <w:r w:rsidR="00456311" w:rsidRPr="00456311">
        <w:t xml:space="preserve">Each parameter below </w:t>
      </w:r>
      <w:r w:rsidR="00034B72">
        <w:t>is</w:t>
      </w:r>
      <w:r w:rsidR="00456311" w:rsidRPr="00456311">
        <w:t xml:space="preserve"> </w:t>
      </w:r>
      <w:r w:rsidR="0065057B">
        <w:t>dynamically calculated for each period, using inputs such as energy production or water usage that are already generated in</w:t>
      </w:r>
      <w:r w:rsidR="00456311" w:rsidRPr="00456311">
        <w:t xml:space="preserve"> the conventional TEA framework</w:t>
      </w:r>
      <w:r w:rsidR="00456311">
        <w:t>.</w:t>
      </w:r>
    </w:p>
    <w:p w14:paraId="4969B6CA" w14:textId="0CA2AD50" w:rsidR="00254050" w:rsidRDefault="00E73697" w:rsidP="00DF2120">
      <w:pPr>
        <w:pStyle w:val="Heading3"/>
      </w:pPr>
      <w:r>
        <w:t xml:space="preserve">Carbon </w:t>
      </w:r>
      <w:r w:rsidR="001A0846">
        <w:t>Offset</w:t>
      </w:r>
    </w:p>
    <w:p w14:paraId="2DCBD11C" w14:textId="1405BABD" w:rsidR="00B44E0A" w:rsidRDefault="005321AF" w:rsidP="00B44E0A">
      <w:r>
        <w:t xml:space="preserve">Geothermal energy </w:t>
      </w:r>
      <w:r w:rsidR="004E77AB">
        <w:t xml:space="preserve">can </w:t>
      </w:r>
      <w:r w:rsidR="00337676">
        <w:t>displace</w:t>
      </w:r>
      <w:r w:rsidR="004E77AB">
        <w:t xml:space="preserve"> energy</w:t>
      </w:r>
      <w:r w:rsidR="00337676">
        <w:t xml:space="preserve"> generation </w:t>
      </w:r>
      <w:r w:rsidR="004E77AB">
        <w:t xml:space="preserve">technologies </w:t>
      </w:r>
      <w:r w:rsidR="00337676">
        <w:t xml:space="preserve">that would otherwise emit </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oMath>
      <w:r w:rsidR="00F816F4">
        <w:t xml:space="preserve">. </w:t>
      </w:r>
      <w:r w:rsidR="007117D9">
        <w:t>T</w:t>
      </w:r>
      <w:r w:rsidR="007117D9" w:rsidRPr="007117D9">
        <w:t>he value</w:t>
      </w:r>
      <w:r w:rsidR="007117D9">
        <w:t xml:space="preserve"> </w:t>
      </w:r>
      <w:r w:rsidR="007117D9" w:rsidRPr="007117D9">
        <w:t xml:space="preserve">of that displacement is proportional to a </w:t>
      </w:r>
      <w:r w:rsidR="00045F62">
        <w:t xml:space="preserve">regional </w:t>
      </w:r>
      <w:r w:rsidR="007117D9" w:rsidRPr="007117D9">
        <w:t>carbon benchmark price</w:t>
      </w:r>
      <w:r w:rsidR="00EF1FB8">
        <w:t xml:space="preserve">. </w:t>
      </w:r>
      <w:r w:rsidR="00045F62">
        <w:t>The carbon</w:t>
      </w:r>
      <w:r w:rsidR="00045F62" w:rsidRPr="00DF4FE1">
        <w:t xml:space="preserve"> price </w:t>
      </w:r>
      <w:r w:rsidR="00A010FC">
        <w:t>is</w:t>
      </w:r>
      <w:r w:rsidR="00045F62">
        <w:t xml:space="preserve"> </w:t>
      </w:r>
      <w:r w:rsidR="00045F62" w:rsidRPr="00DF4FE1">
        <w:t>drawn from the prevailing regulatory</w:t>
      </w:r>
      <w:r w:rsidR="007A3177">
        <w:t xml:space="preserve"> body</w:t>
      </w:r>
      <w:r w:rsidR="00045F62" w:rsidRPr="00DF4FE1">
        <w:t>, supplemented by regional</w:t>
      </w:r>
      <w:r w:rsidR="00045F62">
        <w:t xml:space="preserve"> </w:t>
      </w:r>
      <w:r w:rsidR="00045F62" w:rsidRPr="00DF4FE1">
        <w:t xml:space="preserve">shadow carbon values and documented voluntary or internal prices. This ensures that carbon offsets are valued </w:t>
      </w:r>
      <w:r w:rsidR="004E77AB">
        <w:t>in accordance with</w:t>
      </w:r>
      <w:r w:rsidR="00045F62" w:rsidRPr="00DF4FE1">
        <w:t xml:space="preserve"> the economic mechanisms that would apply to </w:t>
      </w:r>
      <w:r w:rsidR="00873A53">
        <w:t>avoided emissions</w:t>
      </w:r>
      <w:r w:rsidR="00045F62" w:rsidRPr="00DF4FE1">
        <w:t xml:space="preserve"> in each jurisdiction</w:t>
      </w:r>
      <w:r w:rsidR="00445E1E">
        <w:t xml:space="preserve"> or commercial context</w:t>
      </w:r>
      <w:r w:rsidR="00045F62" w:rsidRPr="00DF4FE1">
        <w:t>.</w:t>
      </w:r>
    </w:p>
    <w:p w14:paraId="7923E2EF" w14:textId="03CB3867" w:rsidR="00843D59" w:rsidRDefault="00EB0561" w:rsidP="00B44E0A">
      <w:r>
        <w:t xml:space="preserve">Carbon offsets are a commonly used mechanism </w:t>
      </w:r>
      <w:r w:rsidR="006C4A06">
        <w:t xml:space="preserve">in renewable energy projects. </w:t>
      </w:r>
      <w:r w:rsidR="004B286F" w:rsidRPr="004B286F">
        <w:t xml:space="preserve">The monetary value of carbon offset is detailed in avoided-emissions equations </w:t>
      </w:r>
      <w:r w:rsidR="00684EAC">
        <w:t>(World Bank, 2023).</w:t>
      </w:r>
    </w:p>
    <w:p w14:paraId="1354126A" w14:textId="4D629DEB" w:rsidR="00B44E0A" w:rsidRPr="00184DBB" w:rsidRDefault="004109EA" w:rsidP="00B44E0A">
      <w:pPr>
        <w:rPr>
          <w:i/>
        </w:rPr>
      </w:pPr>
      <m:oMathPara>
        <m:oMath>
          <m:sSub>
            <m:sSubPr>
              <m:ctrlPr>
                <w:rPr>
                  <w:rFonts w:ascii="Cambria Math" w:hAnsi="Cambria Math"/>
                  <w:i/>
                </w:rPr>
              </m:ctrlPr>
            </m:sSubPr>
            <m:e>
              <m:r>
                <w:rPr>
                  <w:rFonts w:ascii="Cambria Math" w:hAnsi="Cambria Math"/>
                </w:rPr>
                <m:t>B</m:t>
              </m:r>
            </m:e>
            <m:sub>
              <m:r>
                <w:rPr>
                  <w:rFonts w:ascii="Cambria Math" w:hAnsi="Cambria Math"/>
                </w:rPr>
                <m:t>carbon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avoided</m:t>
              </m:r>
            </m:sub>
          </m:sSub>
          <m:r>
            <w:rPr>
              <w:rFonts w:ascii="Cambria Math" w:hAnsi="Cambria Math"/>
            </w:rPr>
            <m:t>⋅</m:t>
          </m:r>
          <m:sSub>
            <m:sSubPr>
              <m:ctrlPr>
                <w:rPr>
                  <w:rFonts w:ascii="Cambria Math" w:hAnsi="Cambria Math"/>
                  <w:i/>
                </w:rPr>
              </m:ctrlPr>
            </m:sSubPr>
            <m:e>
              <m:r>
                <w:rPr>
                  <w:rFonts w:ascii="Cambria Math" w:hAnsi="Cambria Math"/>
                </w:rPr>
                <m:t>E⋅P</m:t>
              </m:r>
            </m:e>
            <m:sub>
              <m:r>
                <w:rPr>
                  <w:rFonts w:ascii="Cambria Math" w:hAnsi="Cambria Math"/>
                </w:rPr>
                <m:t>carbon</m:t>
              </m:r>
            </m:sub>
          </m:sSub>
        </m:oMath>
      </m:oMathPara>
    </w:p>
    <w:p w14:paraId="634E61A1" w14:textId="3257B759" w:rsidR="00B57319" w:rsidRDefault="00054096" w:rsidP="00587CEE">
      <w:r w:rsidRPr="00D62098">
        <w:t>where</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carbon</m:t>
            </m:r>
          </m:sub>
        </m:sSub>
      </m:oMath>
      <w:r w:rsidR="0046782C">
        <w:rPr>
          <w:iCs/>
        </w:rPr>
        <w:t xml:space="preserve"> is the m</w:t>
      </w:r>
      <w:r w:rsidR="00B57319" w:rsidRPr="0046782C">
        <w:rPr>
          <w:iCs/>
        </w:rPr>
        <w:t>onetary value of carbon offset</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avoided</m:t>
            </m:r>
          </m:sub>
        </m:sSub>
      </m:oMath>
      <w:r w:rsidR="008C597D">
        <w:rPr>
          <w:iCs/>
        </w:rPr>
        <w:t xml:space="preserve"> </w:t>
      </w:r>
      <w:r w:rsidR="005A0582">
        <w:rPr>
          <w:iCs/>
        </w:rPr>
        <w:t xml:space="preserve">is </w:t>
      </w:r>
      <w:r w:rsidR="00421AFE" w:rsidRPr="0046782C">
        <w:rPr>
          <w:iCs/>
        </w:rPr>
        <w:t>emissions avoided</w:t>
      </w:r>
      <w:r w:rsidR="00184DBB" w:rsidRPr="0046782C">
        <w:rPr>
          <w:iCs/>
        </w:rPr>
        <w:t xml:space="preserve"> per unit</w:t>
      </w:r>
      <w:r w:rsidR="00421AFE" w:rsidRPr="0046782C">
        <w:rPr>
          <w:iCs/>
        </w:rPr>
        <w:t xml:space="preserve"> (</w:t>
      </w:r>
      <m:oMath>
        <m:r>
          <m:rPr>
            <m:sty m:val="p"/>
          </m:rPr>
          <w:rPr>
            <w:rFonts w:ascii="Cambria Math" w:hAnsi="Cambria Math"/>
          </w:rPr>
          <m:t>tC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r>
          <m:rPr>
            <m:lit/>
            <m:sty m:val="p"/>
          </m:rPr>
          <w:rPr>
            <w:rFonts w:ascii="Cambria Math" w:hAnsi="Cambria Math"/>
          </w:rPr>
          <m:t>/</m:t>
        </m:r>
        <m:r>
          <m:rPr>
            <m:sty m:val="p"/>
          </m:rPr>
          <w:rPr>
            <w:rFonts w:ascii="Cambria Math" w:hAnsi="Cambria Math"/>
          </w:rPr>
          <m:t>MWh</m:t>
        </m:r>
      </m:oMath>
      <w:r w:rsidR="00421AFE" w:rsidRPr="0046782C">
        <w:rPr>
          <w:iCs/>
        </w:rPr>
        <w:t>)</w:t>
      </w:r>
      <w:r w:rsidR="005A0582">
        <w:rPr>
          <w:iCs/>
        </w:rPr>
        <w:t>;</w:t>
      </w:r>
      <m:oMath>
        <m:r>
          <w:rPr>
            <w:rFonts w:ascii="Cambria Math" w:hAnsi="Cambria Math"/>
          </w:rPr>
          <m:t xml:space="preserve"> E</m:t>
        </m:r>
      </m:oMath>
      <w:r w:rsidR="00062CA7">
        <w:t xml:space="preserve"> </w:t>
      </w:r>
      <w:r w:rsidR="005A0582">
        <w:t xml:space="preserve">is the amount of </w:t>
      </w:r>
      <w:r w:rsidR="00184DBB">
        <w:t>renewable energy produced (</w:t>
      </w:r>
      <m:oMath>
        <m:r>
          <m:rPr>
            <m:sty m:val="p"/>
          </m:rPr>
          <w:rPr>
            <w:rFonts w:ascii="Cambria Math" w:hAnsi="Cambria Math"/>
          </w:rPr>
          <m:t>MWh</m:t>
        </m:r>
      </m:oMath>
      <w:r w:rsidR="00184DBB" w:rsidRPr="005A0582">
        <w:rPr>
          <w:iCs/>
        </w:rPr>
        <w:t>)</w:t>
      </w:r>
      <w:r w:rsidR="005A0582">
        <w:rPr>
          <w:iCs/>
        </w:rPr>
        <w:t xml:space="preserve">; and </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carbon</m:t>
            </m:r>
          </m:sub>
        </m:sSub>
      </m:oMath>
      <w:r w:rsidR="005A0582">
        <w:t xml:space="preserve"> is the </w:t>
      </w:r>
      <w:r w:rsidR="007B75E3" w:rsidRPr="007B75E3">
        <w:t>applicable carbon price</w:t>
      </w:r>
      <w:r w:rsidR="00ED7351">
        <w:t xml:space="preserve"> (</w:t>
      </w:r>
      <m:oMath>
        <m:r>
          <m:rPr>
            <m:sty m:val="p"/>
          </m:rPr>
          <w:rPr>
            <w:rFonts w:ascii="Cambria Math" w:hAnsi="Cambria Math"/>
          </w:rPr>
          <m:t>$/tC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oMath>
      <w:r w:rsidR="005A0582">
        <w:t>.</w:t>
      </w:r>
    </w:p>
    <w:p w14:paraId="70978296" w14:textId="2846F2DA" w:rsidR="00843D59" w:rsidRDefault="00843D59" w:rsidP="00843D59">
      <w:pPr>
        <w:pStyle w:val="Heading3"/>
      </w:pPr>
      <w:r>
        <w:t xml:space="preserve">Renewable Energy </w:t>
      </w:r>
      <w:r w:rsidR="003B1551">
        <w:t>Credits</w:t>
      </w:r>
      <w:r w:rsidR="007D02A1" w:rsidRPr="0029439D">
        <w:t xml:space="preserve"> </w:t>
      </w:r>
      <w:r w:rsidR="0029439D">
        <w:t>(RECs)</w:t>
      </w:r>
    </w:p>
    <w:p w14:paraId="28369110" w14:textId="3AD9ADDE" w:rsidR="000B555D" w:rsidRDefault="0029439D" w:rsidP="00843D59">
      <w:r w:rsidRPr="0029439D">
        <w:t xml:space="preserve">Renewable Energy </w:t>
      </w:r>
      <w:r w:rsidR="003B1551">
        <w:t>Credits</w:t>
      </w:r>
      <w:r w:rsidRPr="0029439D">
        <w:t xml:space="preserve"> (RECs) function as a commoditized representation of the renewable attributes of electricity generation, carrying a market-determined monetary value</w:t>
      </w:r>
      <w:r w:rsidR="00960166">
        <w:t xml:space="preserve"> </w:t>
      </w:r>
      <w:r w:rsidR="004E77AB">
        <w:t xml:space="preserve">that </w:t>
      </w:r>
      <w:r w:rsidR="00960166">
        <w:t>represents a secondary revenue stream</w:t>
      </w:r>
      <w:r w:rsidR="000D6373">
        <w:t xml:space="preserve">. </w:t>
      </w:r>
      <w:r w:rsidR="008D746F" w:rsidRPr="008D746F">
        <w:t>This differs fundamentally from carbon offsets, which are valued on avoided emissions; RECs instead reflect renewable generation attributes and therefore operate as a separate, non-overlapping financial stream.</w:t>
      </w:r>
      <w:r w:rsidR="00065CA3">
        <w:t xml:space="preserve"> </w:t>
      </w:r>
    </w:p>
    <w:p w14:paraId="57D55CB5" w14:textId="286516BD" w:rsidR="00161537" w:rsidRDefault="001075E8" w:rsidP="00843D59">
      <w:r>
        <w:t>REC</w:t>
      </w:r>
      <w:r w:rsidR="005B0D2D">
        <w:t xml:space="preserve"> market value is</w:t>
      </w:r>
      <w:r w:rsidR="004929BE">
        <w:t xml:space="preserve"> sourced from a</w:t>
      </w:r>
      <w:r w:rsidR="007D02A1">
        <w:t xml:space="preserve"> </w:t>
      </w:r>
      <w:r w:rsidR="007D02A1" w:rsidRPr="007D02A1">
        <w:t>mix of compliance markets, voluntary trading platforms, and regional energy attribute registries</w:t>
      </w:r>
      <w:r w:rsidR="007D02A1">
        <w:t>.</w:t>
      </w:r>
      <w:r w:rsidR="00872BB5" w:rsidRPr="00872BB5">
        <w:t xml:space="preserve"> In compliance markets, REC prices are published by state or provincial tracking systems and regulatory authorities</w:t>
      </w:r>
      <w:r w:rsidR="00872BB5">
        <w:t>.</w:t>
      </w:r>
      <w:r w:rsidR="001A2668">
        <w:t xml:space="preserve"> </w:t>
      </w:r>
      <w:r w:rsidR="001A2668" w:rsidRPr="001A2668">
        <w:t>Voluntary market REC prices are available through major brokers and exchanges</w:t>
      </w:r>
      <w:r w:rsidR="001A2668">
        <w:t>.</w:t>
      </w:r>
    </w:p>
    <w:p w14:paraId="5B6FEF32" w14:textId="17371ED5" w:rsidR="008D3C4A" w:rsidRPr="003209E0" w:rsidRDefault="004109EA" w:rsidP="001B2359">
      <w:pPr>
        <w:pStyle w:val="Equation"/>
        <w:rPr>
          <w:i/>
        </w:rPr>
      </w:pPr>
      <m:oMathPara>
        <m:oMath>
          <m:sSub>
            <m:sSubPr>
              <m:ctrlPr>
                <w:rPr>
                  <w:rFonts w:ascii="Cambria Math" w:hAnsi="Cambria Math"/>
                  <w:i/>
                </w:rPr>
              </m:ctrlPr>
            </m:sSubPr>
            <m:e>
              <m:r>
                <w:rPr>
                  <w:rFonts w:ascii="Cambria Math" w:hAnsi="Cambria Math"/>
                </w:rPr>
                <m:t>B</m:t>
              </m:r>
            </m:e>
            <m:sub>
              <m:r>
                <w:rPr>
                  <w:rFonts w:ascii="Cambria Math" w:hAnsi="Cambria Math"/>
                </w:rPr>
                <m:t>REC</m:t>
              </m:r>
            </m:sub>
          </m:sSub>
          <m:r>
            <m:rPr>
              <m:sty m:val="p"/>
            </m:rPr>
            <w:rPr>
              <w:rFonts w:ascii="Cambria Math" w:hAnsi="Cambria Math"/>
            </w:rPr>
            <m:t>=</m:t>
          </m:r>
          <m:r>
            <w:rPr>
              <w:rFonts w:ascii="Cambria Math" w:hAnsi="Cambria Math"/>
            </w:rPr>
            <m:t>E⋅</m:t>
          </m:r>
          <m:sSub>
            <m:sSubPr>
              <m:ctrlPr>
                <w:rPr>
                  <w:rFonts w:ascii="Cambria Math" w:hAnsi="Cambria Math"/>
                  <w:i/>
                </w:rPr>
              </m:ctrlPr>
            </m:sSubPr>
            <m:e>
              <m:r>
                <w:rPr>
                  <w:rFonts w:ascii="Cambria Math" w:hAnsi="Cambria Math"/>
                </w:rPr>
                <m:t>P</m:t>
              </m:r>
            </m:e>
            <m:sub>
              <m:r>
                <w:rPr>
                  <w:rFonts w:ascii="Cambria Math" w:hAnsi="Cambria Math"/>
                </w:rPr>
                <m:t>REC</m:t>
              </m:r>
            </m:sub>
          </m:sSub>
        </m:oMath>
      </m:oMathPara>
    </w:p>
    <w:p w14:paraId="3B67D170" w14:textId="62DEC247" w:rsidR="000B555D" w:rsidRDefault="00307906" w:rsidP="00587CEE">
      <w:r>
        <w:lastRenderedPageBreak/>
        <w:t>where</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REC</m:t>
            </m:r>
          </m:sub>
        </m:sSub>
      </m:oMath>
      <w:r w:rsidR="00032CB1">
        <w:t xml:space="preserve"> </w:t>
      </w:r>
      <w:r w:rsidR="0031730C">
        <w:t xml:space="preserve">is the </w:t>
      </w:r>
      <w:r w:rsidR="00032CB1">
        <w:t xml:space="preserve">monetary value of </w:t>
      </w:r>
      <w:r w:rsidR="00CA5987">
        <w:t>RECs</w:t>
      </w:r>
      <w:r w:rsidR="0031730C">
        <w:t>;</w:t>
      </w:r>
      <m:oMath>
        <m:r>
          <w:rPr>
            <w:rFonts w:ascii="Cambria Math" w:hAnsi="Cambria Math"/>
          </w:rPr>
          <m:t xml:space="preserve"> E</m:t>
        </m:r>
      </m:oMath>
      <w:r w:rsidR="0031730C">
        <w:t xml:space="preserve"> is the amount of </w:t>
      </w:r>
      <w:r w:rsidR="003900AF">
        <w:t>renewable energy generated (</w:t>
      </w:r>
      <m:oMath>
        <m:r>
          <m:rPr>
            <m:sty m:val="p"/>
          </m:rPr>
          <w:rPr>
            <w:rFonts w:ascii="Cambria Math" w:hAnsi="Cambria Math"/>
          </w:rPr>
          <m:t>MWh</m:t>
        </m:r>
      </m:oMath>
      <w:r w:rsidR="003900AF">
        <w:t>)</w:t>
      </w:r>
      <w:r w:rsidR="0031730C">
        <w:t xml:space="preserve">; and </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REC</m:t>
            </m:r>
          </m:sub>
        </m:sSub>
      </m:oMath>
      <w:r w:rsidR="003900AF">
        <w:t xml:space="preserve"> </w:t>
      </w:r>
      <w:r w:rsidR="0031730C">
        <w:t xml:space="preserve">is the </w:t>
      </w:r>
      <w:r w:rsidR="003900AF">
        <w:t xml:space="preserve">market price of </w:t>
      </w:r>
      <w:r w:rsidR="0031730C">
        <w:t xml:space="preserve">REC </w:t>
      </w:r>
      <w:r w:rsidR="00A1723A">
        <w:t>(</w:t>
      </w:r>
      <w:r w:rsidR="00ED7351">
        <w:t>$/</w:t>
      </w:r>
      <m:oMath>
        <m:r>
          <m:rPr>
            <m:sty m:val="p"/>
          </m:rPr>
          <w:rPr>
            <w:rFonts w:ascii="Cambria Math" w:hAnsi="Cambria Math"/>
          </w:rPr>
          <m:t>MWh</m:t>
        </m:r>
      </m:oMath>
      <w:r w:rsidR="00A1723A">
        <w:t>)</w:t>
      </w:r>
      <w:r w:rsidR="0031730C">
        <w:t>.</w:t>
      </w:r>
    </w:p>
    <w:p w14:paraId="1A4CAACE" w14:textId="48AE5639" w:rsidR="00501BD1" w:rsidRDefault="008F26EC" w:rsidP="00DF2120">
      <w:r>
        <w:t xml:space="preserve">When using RECs and </w:t>
      </w:r>
      <w:r w:rsidR="009157B4">
        <w:t>carbon offsets</w:t>
      </w:r>
      <w:r>
        <w:t xml:space="preserve"> </w:t>
      </w:r>
      <w:r w:rsidR="00156F69">
        <w:t xml:space="preserve">simultaneously </w:t>
      </w:r>
      <w:r>
        <w:t xml:space="preserve">in an </w:t>
      </w:r>
      <w:r w:rsidR="00B64404">
        <w:t>ESG-TEA</w:t>
      </w:r>
      <w:r w:rsidR="00156F69">
        <w:t xml:space="preserve"> model</w:t>
      </w:r>
      <w:r w:rsidR="005677DB">
        <w:t xml:space="preserve">, </w:t>
      </w:r>
      <w:r w:rsidR="00156F69">
        <w:t>care must be taken to</w:t>
      </w:r>
      <w:r w:rsidR="005677DB">
        <w:t xml:space="preserve"> </w:t>
      </w:r>
      <w:r w:rsidR="004E77AB">
        <w:t xml:space="preserve">avoid double-counting the same environmental benefit </w:t>
      </w:r>
      <w:r w:rsidR="00156F69">
        <w:t>(</w:t>
      </w:r>
      <w:r w:rsidR="00802AC2">
        <w:t>Bird et al., 2011</w:t>
      </w:r>
      <w:r w:rsidR="00156F69">
        <w:t>)</w:t>
      </w:r>
      <w:r w:rsidR="000B555D">
        <w:t>.</w:t>
      </w:r>
      <w:r w:rsidR="0053101C">
        <w:t xml:space="preserve"> </w:t>
      </w:r>
      <w:r w:rsidR="00180F8B" w:rsidRPr="00180F8B">
        <w:t xml:space="preserve">REC valuation </w:t>
      </w:r>
      <w:r w:rsidR="00180F8B">
        <w:t>should reflect</w:t>
      </w:r>
      <w:r w:rsidR="00180F8B" w:rsidRPr="00180F8B">
        <w:t xml:space="preserve"> an observable commodity price</w:t>
      </w:r>
      <w:r w:rsidR="001F709E">
        <w:t xml:space="preserve"> to avoid overlap with monetized </w:t>
      </w:r>
      <w:r w:rsidR="009157B4">
        <w:t>carbon</w:t>
      </w:r>
      <w:r w:rsidR="001F709E">
        <w:t xml:space="preserve"> offsets.</w:t>
      </w:r>
    </w:p>
    <w:p w14:paraId="4CFBFF3F" w14:textId="56DD2136" w:rsidR="00060681" w:rsidRDefault="00060681" w:rsidP="00060681">
      <w:pPr>
        <w:pStyle w:val="Heading3"/>
      </w:pPr>
      <w:r>
        <w:t xml:space="preserve">Water </w:t>
      </w:r>
      <w:r w:rsidR="000E5842">
        <w:t>Offset</w:t>
      </w:r>
    </w:p>
    <w:p w14:paraId="599B42AA" w14:textId="12600076" w:rsidR="00DF39BF" w:rsidRDefault="004E77AB" w:rsidP="00060681">
      <w:r>
        <w:t>Water use volumes in geothermal projects</w:t>
      </w:r>
      <w:r w:rsidR="00DF39BF">
        <w:t xml:space="preserve"> are </w:t>
      </w:r>
      <w:r w:rsidR="00173454">
        <w:t>typically</w:t>
      </w:r>
      <w:r w:rsidR="00DF39BF">
        <w:t xml:space="preserve"> lower than </w:t>
      </w:r>
      <w:r>
        <w:t>those of conventional processes that</w:t>
      </w:r>
      <w:r w:rsidR="00DF39BF">
        <w:t xml:space="preserve"> produce the same amount of energy. The Water Offset </w:t>
      </w:r>
      <w:r w:rsidR="00097786">
        <w:t>adjustment</w:t>
      </w:r>
      <w:r w:rsidR="00DF39BF">
        <w:t xml:space="preserve"> reflects </w:t>
      </w:r>
      <w:r w:rsidR="00131E69">
        <w:t>avoidance of scarcity</w:t>
      </w:r>
      <w:r w:rsidR="00DF39BF">
        <w:t>, which is similar in nature to the Carbon Offset.</w:t>
      </w:r>
      <w:r w:rsidR="008E6821">
        <w:t xml:space="preserve"> </w:t>
      </w:r>
    </w:p>
    <w:p w14:paraId="5583F4D7" w14:textId="508B0E2D" w:rsidR="00F87645" w:rsidRDefault="001D045B" w:rsidP="00060681">
      <w:r>
        <w:t xml:space="preserve">While </w:t>
      </w:r>
      <w:r w:rsidR="004876D4">
        <w:t>tariff</w:t>
      </w:r>
      <w:r w:rsidRPr="00C1787B">
        <w:t>-based water costs</w:t>
      </w:r>
      <w:r>
        <w:t xml:space="preserve"> are </w:t>
      </w:r>
      <w:r w:rsidR="004876D4">
        <w:t>published and available</w:t>
      </w:r>
      <w:r>
        <w:t xml:space="preserve">, </w:t>
      </w:r>
      <w:r w:rsidR="004E77AB">
        <w:t>they often underestimate the actual ESG and regulatory risks</w:t>
      </w:r>
      <w:r w:rsidRPr="00C1787B">
        <w:t xml:space="preserve"> associated with freshwater withdrawals or makeup water requirements</w:t>
      </w:r>
      <w:r>
        <w:t xml:space="preserve">. </w:t>
      </w:r>
      <w:r w:rsidR="00960166">
        <w:t xml:space="preserve">As an alternative, </w:t>
      </w:r>
      <w:r w:rsidR="00623B25">
        <w:t>regional water</w:t>
      </w:r>
      <w:r w:rsidR="00862C17" w:rsidRPr="00C1787B">
        <w:t xml:space="preserve"> shadow pricing</w:t>
      </w:r>
      <w:r>
        <w:t xml:space="preserve"> </w:t>
      </w:r>
      <w:r w:rsidR="00623B25">
        <w:t xml:space="preserve">provides a superior </w:t>
      </w:r>
      <w:r w:rsidR="00E76CD0">
        <w:t>calculation</w:t>
      </w:r>
      <w:r w:rsidR="00862C17" w:rsidRPr="00C1787B">
        <w:t xml:space="preserve"> of the economic value of water that reflects scarcity, opportunity cost, and basin-level resource constraints</w:t>
      </w:r>
      <w:r w:rsidR="00320FEB">
        <w:t xml:space="preserve"> (</w:t>
      </w:r>
      <w:proofErr w:type="spellStart"/>
      <w:r w:rsidR="00320FEB" w:rsidRPr="000644B4">
        <w:rPr>
          <w:lang w:val="en-CA"/>
        </w:rPr>
        <w:t>Bierkens</w:t>
      </w:r>
      <w:proofErr w:type="spellEnd"/>
      <w:r w:rsidR="00320FEB">
        <w:rPr>
          <w:lang w:val="en-CA"/>
        </w:rPr>
        <w:t xml:space="preserve"> et al., 2019)</w:t>
      </w:r>
      <w:r w:rsidR="00862C17" w:rsidRPr="00C1787B">
        <w:t>.</w:t>
      </w:r>
      <w:r w:rsidR="00862C17">
        <w:t xml:space="preserve"> Shadow pricing of water is commonly used in mining and agriculture TEA, where industrial demand competes with community requirements</w:t>
      </w:r>
      <w:r w:rsidR="004876D4">
        <w:t xml:space="preserve">, as it is a better indicator of </w:t>
      </w:r>
      <w:r w:rsidR="004E77AB">
        <w:t xml:space="preserve">actual </w:t>
      </w:r>
      <w:r w:rsidR="004876D4">
        <w:t>impact</w:t>
      </w:r>
      <w:r w:rsidR="001C17ED">
        <w:t>.</w:t>
      </w:r>
      <w:r>
        <w:t xml:space="preserve"> </w:t>
      </w:r>
    </w:p>
    <w:p w14:paraId="4888B8D6" w14:textId="2DA39207" w:rsidR="00844058" w:rsidRPr="00BD6385" w:rsidRDefault="004109EA" w:rsidP="00060681">
      <w:pPr>
        <w:rPr>
          <w:i/>
        </w:rPr>
      </w:pPr>
      <m:oMathPara>
        <m:oMath>
          <m:sSub>
            <m:sSubPr>
              <m:ctrlPr>
                <w:rPr>
                  <w:rFonts w:ascii="Cambria Math" w:hAnsi="Cambria Math"/>
                  <w:i/>
                </w:rPr>
              </m:ctrlPr>
            </m:sSubPr>
            <m:e>
              <m:r>
                <w:rPr>
                  <w:rFonts w:ascii="Cambria Math" w:hAnsi="Cambria Math"/>
                </w:rPr>
                <m:t>B</m:t>
              </m:r>
            </m:e>
            <m:sub>
              <m:r>
                <w:rPr>
                  <w:rFonts w:ascii="Cambria Math" w:hAnsi="Cambria Math"/>
                </w:rPr>
                <m:t>water</m:t>
              </m:r>
            </m:sub>
          </m:sSub>
          <m:r>
            <w:rPr>
              <w:rFonts w:ascii="Cambria Math" w:hAnsi="Cambria Math"/>
            </w:rPr>
            <m:t>=E⋅Δ</m:t>
          </m:r>
          <m:sSub>
            <m:sSubPr>
              <m:ctrlPr>
                <w:rPr>
                  <w:rFonts w:ascii="Cambria Math" w:hAnsi="Cambria Math"/>
                  <w:i/>
                </w:rPr>
              </m:ctrlPr>
            </m:sSubPr>
            <m:e>
              <m:r>
                <w:rPr>
                  <w:rFonts w:ascii="Cambria Math" w:hAnsi="Cambria Math"/>
                </w:rPr>
                <m:t>V</m:t>
              </m:r>
            </m:e>
            <m:sub>
              <m:r>
                <w:rPr>
                  <w:rFonts w:ascii="Cambria Math" w:hAnsi="Cambria Math"/>
                </w:rPr>
                <m:t>water</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water</m:t>
              </m:r>
            </m:sub>
          </m:sSub>
        </m:oMath>
      </m:oMathPara>
    </w:p>
    <w:p w14:paraId="308B05CC" w14:textId="442313A4" w:rsidR="00371C1B" w:rsidRDefault="003335DA" w:rsidP="00587CEE">
      <w:r>
        <w:t>where</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water</m:t>
            </m:r>
          </m:sub>
        </m:sSub>
      </m:oMath>
      <w:r w:rsidR="008F73AE">
        <w:t xml:space="preserve"> </w:t>
      </w:r>
      <w:r w:rsidR="0031730C">
        <w:t xml:space="preserve">is the </w:t>
      </w:r>
      <w:r w:rsidR="008F73AE">
        <w:t>monetary value of water offset</w:t>
      </w:r>
      <m:oMath>
        <m:r>
          <w:rPr>
            <w:rFonts w:ascii="Cambria Math" w:hAnsi="Cambria Math"/>
          </w:rPr>
          <m:t>; E</m:t>
        </m:r>
      </m:oMath>
      <w:r w:rsidR="0031730C">
        <w:t xml:space="preserve"> is the renewable </w:t>
      </w:r>
      <w:r w:rsidR="00CE4E36">
        <w:t>energy generated (</w:t>
      </w:r>
      <m:oMath>
        <m:r>
          <m:rPr>
            <m:sty m:val="p"/>
          </m:rPr>
          <w:rPr>
            <w:rFonts w:ascii="Cambria Math" w:hAnsi="Cambria Math"/>
          </w:rPr>
          <m:t>MWh</m:t>
        </m:r>
      </m:oMath>
      <w:r w:rsidR="00CE4E36">
        <w:t>)</w:t>
      </w:r>
      <w:r w:rsidR="0031730C">
        <w:t>;</w:t>
      </w:r>
      <m:oMath>
        <m:r>
          <m:rPr>
            <m:sty m:val="p"/>
          </m:rPr>
          <w:rPr>
            <w:rFonts w:ascii="Cambria Math" w:hAnsi="Cambria Math"/>
          </w:rPr>
          <m:t xml:space="preserve"> Δ</m:t>
        </m:r>
        <m:sSub>
          <m:sSubPr>
            <m:ctrlPr>
              <w:rPr>
                <w:rFonts w:ascii="Cambria Math" w:hAnsi="Cambria Math"/>
                <w:i/>
              </w:rPr>
            </m:ctrlPr>
          </m:sSubPr>
          <m:e>
            <m:r>
              <w:rPr>
                <w:rFonts w:ascii="Cambria Math" w:hAnsi="Cambria Math"/>
              </w:rPr>
              <m:t>V</m:t>
            </m:r>
          </m:e>
          <m:sub>
            <m:r>
              <w:rPr>
                <w:rFonts w:ascii="Cambria Math" w:hAnsi="Cambria Math"/>
              </w:rPr>
              <m:t>water</m:t>
            </m:r>
          </m:sub>
        </m:sSub>
      </m:oMath>
      <w:r w:rsidR="008F73AE">
        <w:t xml:space="preserve"> </w:t>
      </w:r>
      <w:r w:rsidR="0031730C">
        <w:t xml:space="preserve">is the </w:t>
      </w:r>
      <w:r w:rsidR="009C11E1" w:rsidRPr="009C11E1">
        <w:t>net water savings relative to the displaced technology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rsidR="00CE4E36">
        <w:t>/</w:t>
      </w:r>
      <m:oMath>
        <m:r>
          <m:rPr>
            <m:sty m:val="p"/>
          </m:rPr>
          <w:rPr>
            <w:rFonts w:ascii="Cambria Math" w:hAnsi="Cambria Math"/>
          </w:rPr>
          <m:t>MWh</m:t>
        </m:r>
      </m:oMath>
      <w:r w:rsidR="009C11E1" w:rsidRPr="009C11E1">
        <w:t>)</w:t>
      </w:r>
      <m:oMath>
        <m:r>
          <w:rPr>
            <w:rFonts w:ascii="Cambria Math" w:hAnsi="Cambria Math"/>
          </w:rPr>
          <m:t xml:space="preserve">;and </m:t>
        </m:r>
        <m:sSub>
          <m:sSubPr>
            <m:ctrlPr>
              <w:rPr>
                <w:rFonts w:ascii="Cambria Math" w:hAnsi="Cambria Math"/>
                <w:i/>
              </w:rPr>
            </m:ctrlPr>
          </m:sSubPr>
          <m:e>
            <m:r>
              <w:rPr>
                <w:rFonts w:ascii="Cambria Math" w:hAnsi="Cambria Math"/>
              </w:rPr>
              <m:t>P</m:t>
            </m:r>
          </m:e>
          <m:sub>
            <m:r>
              <w:rPr>
                <w:rFonts w:ascii="Cambria Math" w:hAnsi="Cambria Math"/>
              </w:rPr>
              <m:t>water</m:t>
            </m:r>
          </m:sub>
        </m:sSub>
      </m:oMath>
      <w:r w:rsidR="0031730C">
        <w:t xml:space="preserve"> is the </w:t>
      </w:r>
      <w:r w:rsidR="003C4ED7" w:rsidRPr="003C4ED7">
        <w:t>shadow price of water (</w:t>
      </w:r>
      <w:r w:rsidR="00CE4E36">
        <w:t>$/</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rsidR="003C4ED7">
        <w:t>)</w:t>
      </w:r>
      <w:r w:rsidR="0031730C">
        <w:t>.</w:t>
      </w:r>
    </w:p>
    <w:p w14:paraId="2CF8295C" w14:textId="01ABAECA" w:rsidR="00060681" w:rsidRDefault="00F87645" w:rsidP="00060681">
      <w:r>
        <w:t xml:space="preserve">Shadow pricing is regionally sensitive </w:t>
      </w:r>
      <w:r w:rsidR="00A57C36">
        <w:t xml:space="preserve">and </w:t>
      </w:r>
      <w:r w:rsidR="00C1787B" w:rsidRPr="00C1787B">
        <w:t xml:space="preserve">consistent with World Bank and </w:t>
      </w:r>
      <w:r w:rsidR="004E77AB" w:rsidRPr="0015402E">
        <w:t>Organization</w:t>
      </w:r>
      <w:r w:rsidR="0015402E" w:rsidRPr="0015402E">
        <w:t xml:space="preserve"> for Economic Co-operation and Development </w:t>
      </w:r>
      <w:r w:rsidR="0015402E">
        <w:t>(</w:t>
      </w:r>
      <w:r w:rsidR="00C1787B" w:rsidRPr="00C1787B">
        <w:t>OECD</w:t>
      </w:r>
      <w:r w:rsidR="0015402E">
        <w:t>)</w:t>
      </w:r>
      <w:r w:rsidR="00C1787B" w:rsidRPr="00C1787B">
        <w:t xml:space="preserve"> water valuation practice</w:t>
      </w:r>
      <w:r w:rsidR="00D86C05">
        <w:t xml:space="preserve">. </w:t>
      </w:r>
    </w:p>
    <w:p w14:paraId="719803A2" w14:textId="2B0B5EE0" w:rsidR="00F7020D" w:rsidRDefault="001C17ED" w:rsidP="001C17ED">
      <w:pPr>
        <w:pStyle w:val="Heading3"/>
      </w:pPr>
      <w:r>
        <w:t xml:space="preserve">Idle </w:t>
      </w:r>
      <w:r w:rsidR="00A234BF">
        <w:t>Rig</w:t>
      </w:r>
      <w:r w:rsidR="008677C5">
        <w:t xml:space="preserve"> </w:t>
      </w:r>
      <w:r w:rsidR="00DE3418">
        <w:t>Discount</w:t>
      </w:r>
    </w:p>
    <w:p w14:paraId="25CF469E" w14:textId="56FC4E27" w:rsidR="00F7020D" w:rsidRDefault="00F7020D" w:rsidP="001C17ED">
      <w:r w:rsidRPr="00F7020D">
        <w:t xml:space="preserve">Geothermal project costs are dominated by drilling, and several </w:t>
      </w:r>
      <w:r w:rsidR="00CC17A0">
        <w:t xml:space="preserve">earlier </w:t>
      </w:r>
      <w:r w:rsidR="006D7785">
        <w:t>reports</w:t>
      </w:r>
      <w:r w:rsidRPr="00F7020D">
        <w:t xml:space="preserve"> highlight that</w:t>
      </w:r>
      <w:r w:rsidR="00FC4FC0">
        <w:t xml:space="preserve"> geothermal projects could benefit when rig </w:t>
      </w:r>
      <w:r w:rsidRPr="00F7020D">
        <w:t>capacity is drawn from equipment that would otherwise remain idle</w:t>
      </w:r>
      <w:r w:rsidR="00D23509">
        <w:t xml:space="preserve">. </w:t>
      </w:r>
      <w:r w:rsidR="000340E1">
        <w:t>The proposed</w:t>
      </w:r>
      <w:r w:rsidRPr="00F7020D">
        <w:t xml:space="preserve"> Idle Rig Discount parameter represents a tactical way to capture the economic value of redeploying underutilized rigs. Instead of ass</w:t>
      </w:r>
      <w:r w:rsidR="00EA31D7">
        <w:t xml:space="preserve">uming a </w:t>
      </w:r>
      <w:r w:rsidRPr="00F7020D">
        <w:t>sub-market day rate, the parameter is applied as a discount factor against the prevailing market day rate</w:t>
      </w:r>
      <w:r w:rsidR="004766A4">
        <w:t>. This approach</w:t>
      </w:r>
      <w:r w:rsidRPr="00F7020D">
        <w:t xml:space="preserve"> preserves the use of market-referenced pricing while providing a defensible explanation for why geothermal drilling may be able to access lower effective rates.</w:t>
      </w:r>
    </w:p>
    <w:p w14:paraId="7201DFD9" w14:textId="594ECE40" w:rsidR="00EA7A15" w:rsidRDefault="00EA7A15" w:rsidP="001C17ED">
      <w:r>
        <w:t xml:space="preserve">The idle rig </w:t>
      </w:r>
      <w:r w:rsidR="007C09EF">
        <w:t>discount</w:t>
      </w:r>
      <w:r>
        <w:t xml:space="preserve"> is expressed a</w:t>
      </w:r>
      <w:r w:rsidR="007C09EF">
        <w:t>s a benefit</w:t>
      </w:r>
      <w:r w:rsidR="00001D05">
        <w:t xml:space="preserve"> to</w:t>
      </w:r>
      <w:r w:rsidR="00367C28">
        <w:t xml:space="preserve"> </w:t>
      </w:r>
      <w:r w:rsidR="00001D05">
        <w:t>remain compatible w</w:t>
      </w:r>
      <w:r w:rsidR="008C75C6">
        <w:t>ith the ESG-TEA framework</w:t>
      </w:r>
      <w:r w:rsidR="007C09EF">
        <w:t xml:space="preserve">, and reflects the </w:t>
      </w:r>
      <w:r w:rsidR="008C75C6">
        <w:t xml:space="preserve">absolute </w:t>
      </w:r>
      <w:r w:rsidR="007C09EF">
        <w:t xml:space="preserve">value of </w:t>
      </w:r>
      <w:r w:rsidR="008C75C6">
        <w:t xml:space="preserve">reduction in </w:t>
      </w:r>
      <w:r w:rsidR="007C09EF">
        <w:t>capital expenditure</w:t>
      </w:r>
      <w:r w:rsidR="004A3CA4">
        <w:t xml:space="preserve"> through the discount</w:t>
      </w:r>
      <w:r w:rsidR="00CC17A0">
        <w:t>:</w:t>
      </w:r>
    </w:p>
    <w:p w14:paraId="60DB918A" w14:textId="5DA4083F" w:rsidR="009164DF" w:rsidRPr="00933B56" w:rsidRDefault="004109EA" w:rsidP="00933B56">
      <w:pPr>
        <w:pStyle w:val="Equation"/>
        <w:rPr>
          <w:lang w:eastAsia="en-GB"/>
        </w:rPr>
      </w:pPr>
      <m:oMathPara>
        <m:oMath>
          <m:sSub>
            <m:sSubPr>
              <m:ctrlPr>
                <w:rPr>
                  <w:rFonts w:ascii="Cambria Math" w:hAnsi="Cambria Math"/>
                  <w:lang w:eastAsia="en-GB"/>
                </w:rPr>
              </m:ctrlPr>
            </m:sSubPr>
            <m:e>
              <m:r>
                <w:rPr>
                  <w:rFonts w:ascii="Cambria Math" w:hAnsi="Cambria Math"/>
                  <w:lang w:eastAsia="en-GB"/>
                </w:rPr>
                <m:t>B</m:t>
              </m:r>
            </m:e>
            <m:sub>
              <m:r>
                <w:rPr>
                  <w:rFonts w:ascii="Cambria Math" w:hAnsi="Cambria Math"/>
                  <w:lang w:eastAsia="en-GB"/>
                </w:rPr>
                <m:t>rig</m:t>
              </m:r>
            </m:sub>
          </m:sSub>
          <m:r>
            <m:rPr>
              <m:sty m:val="p"/>
            </m:rPr>
            <w:rPr>
              <w:rFonts w:ascii="Cambria Math" w:hAnsi="Cambria Math"/>
              <w:lang w:eastAsia="en-GB"/>
            </w:rPr>
            <m:t>=</m:t>
          </m:r>
          <m:d>
            <m:dPr>
              <m:ctrlPr>
                <w:rPr>
                  <w:rFonts w:ascii="Cambria Math" w:hAnsi="Cambria Math"/>
                  <w:lang w:eastAsia="en-GB"/>
                </w:rPr>
              </m:ctrlPr>
            </m:dPr>
            <m:e>
              <m:r>
                <m:rPr>
                  <m:sty m:val="p"/>
                </m:rPr>
                <w:rPr>
                  <w:rFonts w:ascii="Cambria Math" w:hAnsi="Cambria Math"/>
                  <w:lang w:eastAsia="en-GB"/>
                </w:rPr>
                <m:t>1-</m:t>
              </m:r>
              <m:r>
                <w:rPr>
                  <w:rFonts w:ascii="Cambria Math" w:hAnsi="Cambria Math"/>
                  <w:lang w:eastAsia="en-GB"/>
                </w:rPr>
                <m:t>α</m:t>
              </m:r>
            </m:e>
          </m:d>
          <m:r>
            <m:rPr>
              <m:sty m:val="p"/>
            </m:rPr>
            <w:rPr>
              <w:rFonts w:ascii="Cambria Math" w:hAnsi="Cambria Math"/>
              <w:lang w:eastAsia="en-GB"/>
            </w:rPr>
            <m:t> </m:t>
          </m:r>
          <m:r>
            <w:rPr>
              <w:rFonts w:ascii="Cambria Math" w:hAnsi="Cambria Math"/>
            </w:rPr>
            <m:t>⋅</m:t>
          </m:r>
          <m:sSub>
            <m:sSubPr>
              <m:ctrlPr>
                <w:rPr>
                  <w:rFonts w:ascii="Cambria Math" w:hAnsi="Cambria Math"/>
                  <w:lang w:eastAsia="en-GB"/>
                </w:rPr>
              </m:ctrlPr>
            </m:sSubPr>
            <m:e>
              <m:r>
                <w:rPr>
                  <w:rFonts w:ascii="Cambria Math" w:hAnsi="Cambria Math"/>
                  <w:lang w:eastAsia="en-GB"/>
                </w:rPr>
                <m:t>R</m:t>
              </m:r>
            </m:e>
            <m:sub>
              <m:r>
                <w:rPr>
                  <w:rFonts w:ascii="Cambria Math" w:hAnsi="Cambria Math"/>
                  <w:lang w:eastAsia="en-GB"/>
                </w:rPr>
                <m:t>market</m:t>
              </m:r>
            </m:sub>
          </m:sSub>
        </m:oMath>
      </m:oMathPara>
    </w:p>
    <w:p w14:paraId="1A17BE71" w14:textId="5C6C94B5" w:rsidR="00477F2F" w:rsidRPr="009164DF" w:rsidRDefault="00F04AF8" w:rsidP="00587CEE">
      <w:r>
        <w:t>where</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rig</m:t>
            </m:r>
          </m:sub>
        </m:sSub>
      </m:oMath>
      <w:r w:rsidR="00743051">
        <w:t xml:space="preserve"> is the </w:t>
      </w:r>
      <w:r w:rsidR="00BF7C6C">
        <w:t>idle rig cost benefit</w:t>
      </w:r>
      <m:oMath>
        <m:r>
          <w:rPr>
            <w:rFonts w:ascii="Cambria Math" w:hAnsi="Cambria Math"/>
            <w:lang w:eastAsia="en-GB"/>
          </w:rPr>
          <m:t>; α</m:t>
        </m:r>
      </m:oMath>
      <w:r w:rsidR="00743051">
        <w:t xml:space="preserve"> is the </w:t>
      </w:r>
      <w:r w:rsidR="00477F2F">
        <w:t xml:space="preserve">discount </w:t>
      </w:r>
      <w:r w:rsidR="0034240E">
        <w:t>rate</w:t>
      </w:r>
      <w:r w:rsidR="00E47E9B">
        <w:t xml:space="preserve"> for idle assets</w:t>
      </w:r>
      <w:r w:rsidR="00743051">
        <w:t xml:space="preserve">; and </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market</m:t>
            </m:r>
          </m:sub>
        </m:sSub>
      </m:oMath>
      <w:r w:rsidR="00743051">
        <w:t xml:space="preserve"> is the </w:t>
      </w:r>
      <w:r w:rsidR="00477F2F">
        <w:t xml:space="preserve">prevailing market rig </w:t>
      </w:r>
      <w:r w:rsidR="00BD0A90">
        <w:t>rate</w:t>
      </w:r>
      <w:r w:rsidR="00743051">
        <w:t>.</w:t>
      </w:r>
    </w:p>
    <w:p w14:paraId="797987A4" w14:textId="66CBA782" w:rsidR="00CA4B3E" w:rsidRDefault="000340E1" w:rsidP="00CA4B3E">
      <w:r w:rsidRPr="000340E1">
        <w:t xml:space="preserve">Discount factors used in this model should be grounded in current industry reports or market observations on rig utilization and stacking costs. For internal consistency, the discounted day rate must not fall below the </w:t>
      </w:r>
      <w:r w:rsidR="00C02A3E">
        <w:t>equipment's idle cost</w:t>
      </w:r>
      <w:r w:rsidRPr="000340E1">
        <w:t>. This lower bound corresponds to the minimum economically rational rate, ensuring that any sub-market pricing assumed in the model reflects a real avoided-cost mechanism rather than an unsupported reduction in capital cost.</w:t>
      </w:r>
      <w:r w:rsidR="00CC15EC">
        <w:t xml:space="preserve"> </w:t>
      </w:r>
      <w:r w:rsidR="004902A3">
        <w:t>Though rig owner i</w:t>
      </w:r>
      <w:r w:rsidR="00E62430">
        <w:t>nternal costs</w:t>
      </w:r>
      <w:r w:rsidR="006E3713">
        <w:t xml:space="preserve"> </w:t>
      </w:r>
      <w:r w:rsidR="00E62430">
        <w:t xml:space="preserve">are </w:t>
      </w:r>
      <w:r w:rsidR="00C02A3E">
        <w:t>unlikely to be available, regional industry trends are periodically reported</w:t>
      </w:r>
      <w:r w:rsidR="00FF7229">
        <w:t xml:space="preserve"> in market report</w:t>
      </w:r>
      <w:r w:rsidR="007E22B8">
        <w:t xml:space="preserve">s. </w:t>
      </w:r>
      <w:r w:rsidR="00291247">
        <w:t>Th</w:t>
      </w:r>
      <w:r w:rsidR="00E6567F">
        <w:t xml:space="preserve">e </w:t>
      </w:r>
      <w:r w:rsidR="0034240E">
        <w:t>discount rate</w:t>
      </w:r>
      <w:r w:rsidR="00E6567F">
        <w:t xml:space="preserve"> may be modeled with uncertainty</w:t>
      </w:r>
      <w:r w:rsidR="009C1882">
        <w:t xml:space="preserve"> to</w:t>
      </w:r>
      <w:r w:rsidR="0075773E">
        <w:t xml:space="preserve"> reflect the probability of negotiating this benefit</w:t>
      </w:r>
      <w:r w:rsidR="00CC17A0">
        <w:t>.</w:t>
      </w:r>
      <w:r w:rsidR="00602975">
        <w:t xml:space="preserve"> </w:t>
      </w:r>
      <w:r w:rsidR="00217355">
        <w:t>In addition, o</w:t>
      </w:r>
      <w:r w:rsidR="00287595">
        <w:t xml:space="preserve">verlap may exist with the Jobs Benefit when idle assets are </w:t>
      </w:r>
      <w:r w:rsidR="000F3F20">
        <w:t>utilized</w:t>
      </w:r>
      <w:r w:rsidR="00287595">
        <w:t xml:space="preserve">; </w:t>
      </w:r>
      <w:r w:rsidR="00E27063">
        <w:t xml:space="preserve">the modeler should </w:t>
      </w:r>
      <w:r w:rsidR="00053AC5">
        <w:t>avoid double-counting by considering</w:t>
      </w:r>
      <w:r w:rsidR="00E27063">
        <w:t xml:space="preserve"> if </w:t>
      </w:r>
      <w:r w:rsidR="00217355">
        <w:t>net new</w:t>
      </w:r>
      <w:r w:rsidR="00E27063">
        <w:t xml:space="preserve"> construction jobs were created by keeping an existing rig deployed</w:t>
      </w:r>
      <w:r w:rsidR="00053AC5">
        <w:t>.</w:t>
      </w:r>
    </w:p>
    <w:p w14:paraId="342A6E80" w14:textId="1C09AEC3" w:rsidR="0027101B" w:rsidRDefault="00425E4A" w:rsidP="00CA4B3E">
      <w:r>
        <w:t>I</w:t>
      </w:r>
      <w:r w:rsidRPr="00425E4A">
        <w:t xml:space="preserve">n the drilling industry, rigs can be idled through either warm stacking or cold stacking. Warm stacking retains a reduced crew and maintains key systems, keeping the rig in a state of readiness and often incurring costs </w:t>
      </w:r>
      <w:r w:rsidR="00C02A3E">
        <w:t xml:space="preserve">comparable to those of </w:t>
      </w:r>
      <w:r w:rsidRPr="00425E4A">
        <w:t>active operation. Cold stacking fully releases the crew and shuts down most systems, reducing short-term costs but increasing reactivation risk, accelerating equipment degradation, and creating negative impacts for workers and local communities through job losses. While this parameter does not explicitly quantify those social or operational losses, it encourages geothermal projects to utilize rigs that might otherwise be idle. In doing so, it supports ESG principles by helping preserve skilled employment, maintain community stability, and promote responsible use of existing industrial assets.</w:t>
      </w:r>
    </w:p>
    <w:p w14:paraId="06787D09" w14:textId="4459B51B" w:rsidR="0003661A" w:rsidRDefault="00880325" w:rsidP="0003661A">
      <w:pPr>
        <w:pStyle w:val="Heading3"/>
      </w:pPr>
      <w:r>
        <w:lastRenderedPageBreak/>
        <w:t>Jobs Benefit</w:t>
      </w:r>
    </w:p>
    <w:p w14:paraId="4C7E6C96" w14:textId="038428D2" w:rsidR="004D1ACF" w:rsidRPr="004D1ACF" w:rsidRDefault="004D1ACF" w:rsidP="004D1ACF">
      <w:pPr>
        <w:rPr>
          <w:lang w:val="en-CA"/>
        </w:rPr>
      </w:pPr>
      <w:r w:rsidRPr="004D1ACF">
        <w:rPr>
          <w:lang w:val="en-CA"/>
        </w:rPr>
        <w:t>The creation of jobs, tax revenue, and broader community impacts has previously been incorporated directly into techno-economic assessments (Almena et al.</w:t>
      </w:r>
      <w:r w:rsidR="00B11157">
        <w:rPr>
          <w:lang w:val="en-CA"/>
        </w:rPr>
        <w:t>,</w:t>
      </w:r>
      <w:r w:rsidRPr="004D1ACF">
        <w:rPr>
          <w:lang w:val="en-CA"/>
        </w:rPr>
        <w:t xml:space="preserve"> 2025). These effects are widely recognized as providing </w:t>
      </w:r>
      <w:r w:rsidR="00312DD5">
        <w:rPr>
          <w:lang w:val="en-CA"/>
        </w:rPr>
        <w:t>sustainable</w:t>
      </w:r>
      <w:r w:rsidRPr="004D1ACF">
        <w:rPr>
          <w:lang w:val="en-CA"/>
        </w:rPr>
        <w:t>,</w:t>
      </w:r>
      <w:r w:rsidR="00312DD5">
        <w:rPr>
          <w:lang w:val="en-CA"/>
        </w:rPr>
        <w:t xml:space="preserve"> long-term</w:t>
      </w:r>
      <w:r w:rsidRPr="004D1ACF">
        <w:rPr>
          <w:lang w:val="en-CA"/>
        </w:rPr>
        <w:t xml:space="preserve"> positive</w:t>
      </w:r>
      <w:r w:rsidR="00312DD5">
        <w:rPr>
          <w:lang w:val="en-CA"/>
        </w:rPr>
        <w:t xml:space="preserve"> economic</w:t>
      </w:r>
      <w:r w:rsidRPr="004D1ACF">
        <w:rPr>
          <w:lang w:val="en-CA"/>
        </w:rPr>
        <w:t xml:space="preserve"> value to local communities.</w:t>
      </w:r>
    </w:p>
    <w:p w14:paraId="2918A4DD" w14:textId="3A823533" w:rsidR="004D1ACF" w:rsidRPr="004D1ACF" w:rsidRDefault="004D1ACF" w:rsidP="004D1ACF">
      <w:pPr>
        <w:rPr>
          <w:lang w:val="en-CA"/>
        </w:rPr>
      </w:pPr>
      <w:r w:rsidRPr="004D1ACF">
        <w:rPr>
          <w:lang w:val="en-CA"/>
        </w:rPr>
        <w:t xml:space="preserve">For a geothermal </w:t>
      </w:r>
      <w:r>
        <w:rPr>
          <w:lang w:val="en-CA"/>
        </w:rPr>
        <w:t>plant</w:t>
      </w:r>
      <w:r w:rsidRPr="004D1ACF">
        <w:rPr>
          <w:lang w:val="en-CA"/>
        </w:rPr>
        <w:t xml:space="preserve">, employment is generated during the multi-year construction period of a large baseload plant, followed by additional long-term jobs once the facility enters operation. Further indirect employment arises through increased activity in the supporting supply chain. The economic value of this impact can be monetized by estimating </w:t>
      </w:r>
      <w:r w:rsidR="00C02A3E">
        <w:rPr>
          <w:lang w:val="en-CA"/>
        </w:rPr>
        <w:t>the number of people employed and their wages</w:t>
      </w:r>
      <w:r w:rsidRPr="004D1ACF">
        <w:rPr>
          <w:lang w:val="en-CA"/>
        </w:rPr>
        <w:t>.</w:t>
      </w:r>
    </w:p>
    <w:p w14:paraId="7C1D056B" w14:textId="36270C19" w:rsidR="00063025" w:rsidRPr="00F46304" w:rsidRDefault="004109EA" w:rsidP="0003661A">
      <w:pPr>
        <w:rPr>
          <w:i/>
        </w:rPr>
      </w:pPr>
      <m:oMathPara>
        <m:oMath>
          <m:sSub>
            <m:sSubPr>
              <m:ctrlPr>
                <w:rPr>
                  <w:rFonts w:ascii="Cambria Math" w:hAnsi="Cambria Math"/>
                  <w:i/>
                </w:rPr>
              </m:ctrlPr>
            </m:sSubPr>
            <m:e>
              <m:r>
                <w:rPr>
                  <w:rFonts w:ascii="Cambria Math" w:hAnsi="Cambria Math"/>
                </w:rPr>
                <m:t>B</m:t>
              </m:r>
            </m:e>
            <m:sub>
              <m:r>
                <w:rPr>
                  <w:rFonts w:ascii="Cambria Math" w:hAnsi="Cambria Math"/>
                </w:rPr>
                <m:t>jobs</m:t>
              </m:r>
            </m:sub>
          </m:sSub>
          <m:r>
            <w:rPr>
              <w:rFonts w:ascii="Cambria Math" w:hAnsi="Cambria Math"/>
            </w:rPr>
            <m:t xml:space="preserve">=M⋅ </m:t>
          </m:r>
          <m:sSub>
            <m:sSubPr>
              <m:ctrlPr>
                <w:rPr>
                  <w:rFonts w:ascii="Cambria Math" w:hAnsi="Cambria Math"/>
                  <w:i/>
                </w:rPr>
              </m:ctrlPr>
            </m:sSubPr>
            <m:e>
              <m:r>
                <w:rPr>
                  <w:rFonts w:ascii="Cambria Math" w:hAnsi="Cambria Math"/>
                </w:rPr>
                <m:t>N</m:t>
              </m:r>
            </m:e>
            <m:sub>
              <m:r>
                <w:rPr>
                  <w:rFonts w:ascii="Cambria Math" w:hAnsi="Cambria Math"/>
                </w:rPr>
                <m:t>jobs</m:t>
              </m:r>
            </m:sub>
          </m:sSub>
          <m:r>
            <w:rPr>
              <w:rFonts w:ascii="Cambria Math" w:hAnsi="Cambria Math"/>
            </w:rPr>
            <m:t>⋅W</m:t>
          </m:r>
        </m:oMath>
      </m:oMathPara>
    </w:p>
    <w:p w14:paraId="575C82CB" w14:textId="18BD2973" w:rsidR="00F46304" w:rsidRPr="002A4D69" w:rsidRDefault="00F46304" w:rsidP="00587CEE">
      <w:pPr>
        <w:rPr>
          <w:iCs/>
        </w:rPr>
      </w:pPr>
      <w:r>
        <w:rPr>
          <w:iCs/>
        </w:rPr>
        <w:t>w</w:t>
      </w:r>
      <w:r w:rsidRPr="00F46304">
        <w:rPr>
          <w:iCs/>
        </w:rPr>
        <w:t>here</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jobs</m:t>
            </m:r>
          </m:sub>
        </m:sSub>
      </m:oMath>
      <w:r w:rsidR="002A4D69">
        <w:t xml:space="preserve"> is the </w:t>
      </w:r>
      <w:r>
        <w:t>monetary value of created jobs</w:t>
      </w:r>
      <w:r w:rsidR="002A4D69">
        <w:t>;</w:t>
      </w:r>
      <m:oMath>
        <m:r>
          <w:rPr>
            <w:rFonts w:ascii="Cambria Math" w:hAnsi="Cambria Math"/>
          </w:rPr>
          <m:t xml:space="preserve"> M</m:t>
        </m:r>
      </m:oMath>
      <w:r w:rsidR="002A4D69">
        <w:t xml:space="preserve">is the </w:t>
      </w:r>
      <w:r>
        <w:t>multiplier to capture indirect jobs created</w:t>
      </w:r>
      <m:oMath>
        <m:sSub>
          <m:sSubPr>
            <m:ctrlPr>
              <w:rPr>
                <w:rFonts w:ascii="Cambria Math" w:hAnsi="Cambria Math"/>
                <w:i/>
              </w:rPr>
            </m:ctrlPr>
          </m:sSubPr>
          <m:e>
            <m:r>
              <w:rPr>
                <w:rFonts w:ascii="Cambria Math" w:hAnsi="Cambria Math"/>
              </w:rPr>
              <m:t>; N</m:t>
            </m:r>
          </m:e>
          <m:sub>
            <m:r>
              <w:rPr>
                <w:rFonts w:ascii="Cambria Math" w:hAnsi="Cambria Math"/>
              </w:rPr>
              <m:t>jobs</m:t>
            </m:r>
          </m:sub>
        </m:sSub>
      </m:oMath>
      <w:r w:rsidR="002A4D69">
        <w:t xml:space="preserve"> is the </w:t>
      </w:r>
      <w:r>
        <w:t>number of direct jobs created</w:t>
      </w:r>
      <w:r w:rsidR="002A4D69">
        <w:t xml:space="preserve">; and </w:t>
      </w:r>
      <m:oMath>
        <m:r>
          <w:rPr>
            <w:rFonts w:ascii="Cambria Math" w:hAnsi="Cambria Math"/>
          </w:rPr>
          <m:t>W</m:t>
        </m:r>
      </m:oMath>
      <w:r w:rsidR="002A4D69">
        <w:t xml:space="preserve"> is the </w:t>
      </w:r>
      <w:r w:rsidR="00886D03">
        <w:t xml:space="preserve">average wage of </w:t>
      </w:r>
      <w:r w:rsidR="00C02A3E">
        <w:t xml:space="preserve">a </w:t>
      </w:r>
      <w:r w:rsidR="00886D03">
        <w:t>worker</w:t>
      </w:r>
      <w:r w:rsidR="002A4D69">
        <w:t>.</w:t>
      </w:r>
    </w:p>
    <w:p w14:paraId="5F61528D" w14:textId="303FAE82" w:rsidR="00922F9C" w:rsidRPr="00922F9C" w:rsidRDefault="00205ED7" w:rsidP="00922F9C">
      <w:pPr>
        <w:rPr>
          <w:iCs/>
        </w:rPr>
      </w:pPr>
      <w:r w:rsidRPr="00205ED7">
        <w:rPr>
          <w:iCs/>
        </w:rPr>
        <w:t xml:space="preserve">Job-related benefits will naturally vary over the life of a project as staffing needs change. This is one of the advantages of applying ESG factors directly on a per-period cashflow basis, </w:t>
      </w:r>
      <w:r w:rsidR="006B3103">
        <w:rPr>
          <w:iCs/>
        </w:rPr>
        <w:t>as</w:t>
      </w:r>
      <w:r w:rsidR="006B3103" w:rsidRPr="00205ED7">
        <w:rPr>
          <w:iCs/>
        </w:rPr>
        <w:t xml:space="preserve"> </w:t>
      </w:r>
      <w:r w:rsidRPr="00205ED7">
        <w:rPr>
          <w:iCs/>
        </w:rPr>
        <w:t>it captures these shifts dynamically rather than relying on static assumptions.</w:t>
      </w:r>
    </w:p>
    <w:p w14:paraId="42FBBE5A" w14:textId="6820C702" w:rsidR="00851C7D" w:rsidRPr="00851C7D" w:rsidRDefault="002E71FA" w:rsidP="0003661A">
      <w:r w:rsidRPr="002E71FA">
        <w:t>It is important to note that job creation occurs in any project that requires labor and is not unique to geothermal or renewable energy. To compare</w:t>
      </w:r>
      <w:r w:rsidR="00295A63">
        <w:t xml:space="preserve"> across</w:t>
      </w:r>
      <w:r w:rsidRPr="002E71FA">
        <w:t xml:space="preserve"> technologies fairly within </w:t>
      </w:r>
      <w:r w:rsidR="00295A63">
        <w:t xml:space="preserve">the proposed </w:t>
      </w:r>
      <w:r w:rsidRPr="002E71FA">
        <w:t xml:space="preserve">ESG-TEA framework, the </w:t>
      </w:r>
      <w:r w:rsidR="00295A63">
        <w:t>jobs</w:t>
      </w:r>
      <w:r w:rsidRPr="002E71FA">
        <w:t xml:space="preserve"> benefit should be applied across all sectors and scaled according to the specific workforce requirements of each technology.</w:t>
      </w:r>
    </w:p>
    <w:p w14:paraId="7342E2AE" w14:textId="3C63332F" w:rsidR="00CA4B3E" w:rsidRDefault="00CA4B3E" w:rsidP="00CA4B3E">
      <w:pPr>
        <w:pStyle w:val="Heading2"/>
      </w:pPr>
      <w:r>
        <w:t>ESG</w:t>
      </w:r>
      <w:r w:rsidR="00B71D15">
        <w:t xml:space="preserve"> Parameters in </w:t>
      </w:r>
      <w:r w:rsidR="00B64404">
        <w:t>ESG-TEA</w:t>
      </w:r>
    </w:p>
    <w:p w14:paraId="7616017A" w14:textId="74E79CEC" w:rsidR="00C71A74" w:rsidRDefault="00B7538F" w:rsidP="00C71A74">
      <w:pPr>
        <w:pStyle w:val="Heading3"/>
      </w:pPr>
      <w:r>
        <w:t>Baseline</w:t>
      </w:r>
      <w:r w:rsidR="00E56F58">
        <w:t xml:space="preserve"> </w:t>
      </w:r>
      <w:r w:rsidR="00C71A74">
        <w:t>LCOE</w:t>
      </w:r>
      <w:r w:rsidR="00E56F58">
        <w:t xml:space="preserve"> </w:t>
      </w:r>
      <w:r w:rsidR="002D5157">
        <w:t>Calculation</w:t>
      </w:r>
    </w:p>
    <w:p w14:paraId="0EF82899" w14:textId="161687EC" w:rsidR="005872AE" w:rsidRDefault="005A0588" w:rsidP="005872AE">
      <w:r>
        <w:t xml:space="preserve">The </w:t>
      </w:r>
      <w:r w:rsidR="006B3103">
        <w:t>time-dependent</w:t>
      </w:r>
      <w:r w:rsidR="00B236B6">
        <w:t xml:space="preserve"> form of LCOE is shown below. The numerator </w:t>
      </w:r>
      <w:r w:rsidR="00E6173E">
        <w:t xml:space="preserve">represents the total lifetime costs discounted to present value, while the denominator represents the total lifetime </w:t>
      </w:r>
      <w:r>
        <w:t>value of energy production.</w:t>
      </w:r>
    </w:p>
    <w:p w14:paraId="21EC223E" w14:textId="6B42FCD2" w:rsidR="00E56F58" w:rsidRDefault="00AB34A1" w:rsidP="00E829A6">
      <w:pPr>
        <w:pStyle w:val="Equation"/>
        <w:rPr>
          <w:lang w:eastAsia="en-GB"/>
        </w:rPr>
      </w:pPr>
      <m:oMathPara>
        <m:oMath>
          <m:r>
            <w:rPr>
              <w:rFonts w:ascii="Cambria Math" w:hAnsi="Cambria Math"/>
              <w:lang w:eastAsia="en-GB"/>
            </w:rPr>
            <m:t>LCOE</m:t>
          </m:r>
          <m:r>
            <m:rPr>
              <m:sty m:val="p"/>
            </m:rPr>
            <w:rPr>
              <w:rFonts w:ascii="Cambria Math" w:hAnsi="Cambria Math"/>
              <w:lang w:eastAsia="en-GB"/>
            </w:rPr>
            <m:t>=</m:t>
          </m:r>
          <m:f>
            <m:fPr>
              <m:ctrlPr>
                <w:rPr>
                  <w:rFonts w:ascii="Cambria Math" w:hAnsi="Cambria Math"/>
                  <w:lang w:eastAsia="en-GB"/>
                </w:rPr>
              </m:ctrlPr>
            </m:fPr>
            <m:num>
              <m:nary>
                <m:naryPr>
                  <m:chr m:val="∑"/>
                  <m:ctrlPr>
                    <w:rPr>
                      <w:rFonts w:ascii="Cambria Math" w:hAnsi="Cambria Math"/>
                      <w:lang w:eastAsia="en-GB"/>
                    </w:rPr>
                  </m:ctrlPr>
                </m:naryPr>
                <m:sub>
                  <m:r>
                    <w:rPr>
                      <w:rFonts w:ascii="Cambria Math" w:hAnsi="Cambria Math"/>
                      <w:lang w:eastAsia="en-GB"/>
                    </w:rPr>
                    <m:t>t</m:t>
                  </m:r>
                  <m:r>
                    <m:rPr>
                      <m:sty m:val="p"/>
                    </m:rPr>
                    <w:rPr>
                      <w:rFonts w:ascii="Cambria Math" w:hAnsi="Cambria Math"/>
                      <w:lang w:eastAsia="en-GB"/>
                    </w:rPr>
                    <m:t>=0</m:t>
                  </m:r>
                </m:sub>
                <m:sup>
                  <m:r>
                    <w:rPr>
                      <w:rFonts w:ascii="Cambria Math" w:hAnsi="Cambria Math"/>
                      <w:lang w:eastAsia="en-GB"/>
                    </w:rPr>
                    <m:t>N</m:t>
                  </m:r>
                </m:sup>
                <m:e>
                  <m:f>
                    <m:fPr>
                      <m:ctrlPr>
                        <w:rPr>
                          <w:rFonts w:ascii="Cambria Math" w:hAnsi="Cambria Math"/>
                          <w:lang w:eastAsia="en-GB"/>
                        </w:rPr>
                      </m:ctrlPr>
                    </m:fPr>
                    <m:num>
                      <m:r>
                        <w:rPr>
                          <w:rFonts w:ascii="Cambria Math" w:hAnsi="Cambria Math"/>
                          <w:lang w:eastAsia="en-GB"/>
                        </w:rPr>
                        <m:t>CapE</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t</m:t>
                          </m:r>
                        </m:sub>
                      </m:sSub>
                      <m:r>
                        <m:rPr>
                          <m:sty m:val="p"/>
                        </m:rPr>
                        <w:rPr>
                          <w:rFonts w:ascii="Cambria Math" w:hAnsi="Cambria Math"/>
                          <w:lang w:eastAsia="en-GB"/>
                        </w:rPr>
                        <m:t>+</m:t>
                      </m:r>
                      <m:r>
                        <w:rPr>
                          <w:rFonts w:ascii="Cambria Math" w:hAnsi="Cambria Math"/>
                          <w:lang w:eastAsia="en-GB"/>
                        </w:rPr>
                        <m:t>OpE</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t</m:t>
                          </m:r>
                        </m:sub>
                      </m:sSub>
                    </m:num>
                    <m:den>
                      <m:sSup>
                        <m:sSupPr>
                          <m:ctrlPr>
                            <w:rPr>
                              <w:rFonts w:ascii="Cambria Math" w:hAnsi="Cambria Math"/>
                              <w:lang w:eastAsia="en-GB"/>
                            </w:rPr>
                          </m:ctrlPr>
                        </m:sSupPr>
                        <m:e>
                          <m:d>
                            <m:dPr>
                              <m:ctrlPr>
                                <w:rPr>
                                  <w:rFonts w:ascii="Cambria Math" w:hAnsi="Cambria Math"/>
                                  <w:lang w:eastAsia="en-GB"/>
                                </w:rPr>
                              </m:ctrlPr>
                            </m:dPr>
                            <m:e>
                              <m:r>
                                <m:rPr>
                                  <m:sty m:val="p"/>
                                </m:rPr>
                                <w:rPr>
                                  <w:rFonts w:ascii="Cambria Math" w:hAnsi="Cambria Math"/>
                                  <w:lang w:eastAsia="en-GB"/>
                                </w:rPr>
                                <m:t>1+</m:t>
                              </m:r>
                              <m:r>
                                <w:rPr>
                                  <w:rFonts w:ascii="Cambria Math" w:hAnsi="Cambria Math"/>
                                  <w:lang w:eastAsia="en-GB"/>
                                </w:rPr>
                                <m:t>r</m:t>
                              </m:r>
                            </m:e>
                          </m:d>
                        </m:e>
                        <m:sup>
                          <m:r>
                            <w:rPr>
                              <w:rFonts w:ascii="Cambria Math" w:hAnsi="Cambria Math"/>
                              <w:lang w:eastAsia="en-GB"/>
                            </w:rPr>
                            <m:t>t</m:t>
                          </m:r>
                        </m:sup>
                      </m:sSup>
                    </m:den>
                  </m:f>
                </m:e>
              </m:nary>
            </m:num>
            <m:den>
              <m:nary>
                <m:naryPr>
                  <m:chr m:val="∑"/>
                  <m:ctrlPr>
                    <w:rPr>
                      <w:rFonts w:ascii="Cambria Math" w:hAnsi="Cambria Math"/>
                      <w:lang w:eastAsia="en-GB"/>
                    </w:rPr>
                  </m:ctrlPr>
                </m:naryPr>
                <m:sub>
                  <m:r>
                    <w:rPr>
                      <w:rFonts w:ascii="Cambria Math" w:hAnsi="Cambria Math"/>
                      <w:lang w:eastAsia="en-GB"/>
                    </w:rPr>
                    <m:t>t</m:t>
                  </m:r>
                  <m:r>
                    <m:rPr>
                      <m:sty m:val="p"/>
                    </m:rPr>
                    <w:rPr>
                      <w:rFonts w:ascii="Cambria Math" w:hAnsi="Cambria Math"/>
                      <w:lang w:eastAsia="en-GB"/>
                    </w:rPr>
                    <m:t>=0</m:t>
                  </m:r>
                </m:sub>
                <m:sup>
                  <m:r>
                    <w:rPr>
                      <w:rFonts w:ascii="Cambria Math" w:hAnsi="Cambria Math"/>
                      <w:lang w:eastAsia="en-GB"/>
                    </w:rPr>
                    <m:t>N</m:t>
                  </m:r>
                </m:sup>
                <m:e>
                  <m:f>
                    <m:fPr>
                      <m:ctrlPr>
                        <w:rPr>
                          <w:rFonts w:ascii="Cambria Math" w:hAnsi="Cambria Math"/>
                          <w:lang w:eastAsia="en-GB"/>
                        </w:rPr>
                      </m:ctrlPr>
                    </m:fPr>
                    <m:num>
                      <m:sSub>
                        <m:sSubPr>
                          <m:ctrlPr>
                            <w:rPr>
                              <w:rFonts w:ascii="Cambria Math" w:hAnsi="Cambria Math"/>
                              <w:lang w:eastAsia="en-GB"/>
                            </w:rPr>
                          </m:ctrlPr>
                        </m:sSubPr>
                        <m:e>
                          <m:r>
                            <w:rPr>
                              <w:rFonts w:ascii="Cambria Math" w:hAnsi="Cambria Math"/>
                              <w:lang w:eastAsia="en-GB"/>
                            </w:rPr>
                            <m:t>E</m:t>
                          </m:r>
                        </m:e>
                        <m:sub>
                          <m:r>
                            <w:rPr>
                              <w:rFonts w:ascii="Cambria Math" w:hAnsi="Cambria Math"/>
                              <w:lang w:eastAsia="en-GB"/>
                            </w:rPr>
                            <m:t>t</m:t>
                          </m:r>
                        </m:sub>
                      </m:sSub>
                    </m:num>
                    <m:den>
                      <m:sSup>
                        <m:sSupPr>
                          <m:ctrlPr>
                            <w:rPr>
                              <w:rFonts w:ascii="Cambria Math" w:hAnsi="Cambria Math"/>
                              <w:lang w:eastAsia="en-GB"/>
                            </w:rPr>
                          </m:ctrlPr>
                        </m:sSupPr>
                        <m:e>
                          <m:d>
                            <m:dPr>
                              <m:ctrlPr>
                                <w:rPr>
                                  <w:rFonts w:ascii="Cambria Math" w:hAnsi="Cambria Math"/>
                                  <w:lang w:eastAsia="en-GB"/>
                                </w:rPr>
                              </m:ctrlPr>
                            </m:dPr>
                            <m:e>
                              <m:r>
                                <m:rPr>
                                  <m:sty m:val="p"/>
                                </m:rPr>
                                <w:rPr>
                                  <w:rFonts w:ascii="Cambria Math" w:hAnsi="Cambria Math"/>
                                  <w:lang w:eastAsia="en-GB"/>
                                </w:rPr>
                                <m:t>1+</m:t>
                              </m:r>
                              <m:r>
                                <w:rPr>
                                  <w:rFonts w:ascii="Cambria Math" w:hAnsi="Cambria Math"/>
                                  <w:lang w:eastAsia="en-GB"/>
                                </w:rPr>
                                <m:t>r</m:t>
                              </m:r>
                            </m:e>
                          </m:d>
                        </m:e>
                        <m:sup>
                          <m:r>
                            <w:rPr>
                              <w:rFonts w:ascii="Cambria Math" w:hAnsi="Cambria Math"/>
                              <w:lang w:eastAsia="en-GB"/>
                            </w:rPr>
                            <m:t>t</m:t>
                          </m:r>
                        </m:sup>
                      </m:sSup>
                    </m:den>
                  </m:f>
                </m:e>
              </m:nary>
            </m:den>
          </m:f>
        </m:oMath>
      </m:oMathPara>
    </w:p>
    <w:p w14:paraId="7B3E21D5" w14:textId="3B6557E1" w:rsidR="00924013" w:rsidRDefault="00065C4D" w:rsidP="00587CEE">
      <w:r>
        <w:t xml:space="preserve">where </w:t>
      </w:r>
      <m:oMath>
        <m:r>
          <w:rPr>
            <w:rFonts w:ascii="Cambria Math" w:hAnsi="Cambria Math"/>
            <w:lang w:eastAsia="en-GB"/>
          </w:rPr>
          <m:t>LCOE</m:t>
        </m:r>
      </m:oMath>
      <w:r w:rsidR="00A367E2">
        <w:rPr>
          <w:iCs/>
          <w:lang w:eastAsia="en-GB"/>
        </w:rPr>
        <w:t xml:space="preserve"> is the </w:t>
      </w:r>
      <w:r w:rsidRPr="00A367E2">
        <w:rPr>
          <w:iCs/>
          <w:lang w:eastAsia="en-GB"/>
        </w:rPr>
        <w:t>levelized cost of electricity (or more generally, energy)</w:t>
      </w:r>
      <w:r w:rsidR="00A367E2">
        <w:rPr>
          <w:iCs/>
          <w:lang w:eastAsia="en-GB"/>
        </w:rPr>
        <w:t>;</w:t>
      </w:r>
      <m:oMath>
        <m:r>
          <w:rPr>
            <w:rFonts w:ascii="Cambria Math" w:hAnsi="Cambria Math"/>
            <w:lang w:eastAsia="en-GB"/>
          </w:rPr>
          <m:t xml:space="preserve"> CapE</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t</m:t>
            </m:r>
          </m:sub>
        </m:sSub>
      </m:oMath>
      <w:r w:rsidR="00A367E2">
        <w:rPr>
          <w:lang w:eastAsia="en-GB"/>
        </w:rPr>
        <w:t xml:space="preserve"> is the </w:t>
      </w:r>
      <w:r>
        <w:rPr>
          <w:lang w:eastAsia="en-GB"/>
        </w:rPr>
        <w:t xml:space="preserve">capital expenditure at time </w:t>
      </w:r>
      <m:oMath>
        <m:r>
          <w:rPr>
            <w:rFonts w:ascii="Cambria Math" w:hAnsi="Cambria Math"/>
            <w:lang w:eastAsia="en-GB"/>
          </w:rPr>
          <m:t>t; OpE</m:t>
        </m:r>
        <m:sSub>
          <m:sSubPr>
            <m:ctrlPr>
              <w:rPr>
                <w:rFonts w:ascii="Cambria Math" w:hAnsi="Cambria Math"/>
                <w:lang w:eastAsia="en-GB"/>
              </w:rPr>
            </m:ctrlPr>
          </m:sSubPr>
          <m:e>
            <m:r>
              <w:rPr>
                <w:rFonts w:ascii="Cambria Math" w:hAnsi="Cambria Math"/>
                <w:lang w:eastAsia="en-GB"/>
              </w:rPr>
              <m:t>x</m:t>
            </m:r>
          </m:e>
          <m:sub>
            <m:r>
              <w:rPr>
                <w:rFonts w:ascii="Cambria Math" w:hAnsi="Cambria Math"/>
                <w:lang w:eastAsia="en-GB"/>
              </w:rPr>
              <m:t>t</m:t>
            </m:r>
          </m:sub>
        </m:sSub>
      </m:oMath>
      <w:r w:rsidR="00A367E2">
        <w:rPr>
          <w:lang w:eastAsia="en-GB"/>
        </w:rPr>
        <w:t xml:space="preserve"> is the </w:t>
      </w:r>
      <w:r>
        <w:rPr>
          <w:lang w:eastAsia="en-GB"/>
        </w:rPr>
        <w:t xml:space="preserve">operating and maintenance expenditure at </w:t>
      </w:r>
      <w:r w:rsidR="00924013">
        <w:rPr>
          <w:lang w:eastAsia="en-GB"/>
        </w:rPr>
        <w:t xml:space="preserve">time </w:t>
      </w:r>
      <m:oMath>
        <m:r>
          <w:rPr>
            <w:rFonts w:ascii="Cambria Math" w:hAnsi="Cambria Math"/>
            <w:lang w:eastAsia="en-GB"/>
          </w:rPr>
          <m:t>t; r</m:t>
        </m:r>
      </m:oMath>
      <w:r w:rsidR="00717D6F">
        <w:rPr>
          <w:iCs/>
          <w:lang w:eastAsia="en-GB"/>
        </w:rPr>
        <w:t xml:space="preserve"> is the </w:t>
      </w:r>
      <w:r w:rsidR="0003571F" w:rsidRPr="00717D6F">
        <w:rPr>
          <w:iCs/>
          <w:lang w:eastAsia="en-GB"/>
        </w:rPr>
        <w:t xml:space="preserve">market </w:t>
      </w:r>
      <w:r w:rsidR="00924013" w:rsidRPr="00717D6F">
        <w:rPr>
          <w:iCs/>
          <w:lang w:eastAsia="en-GB"/>
        </w:rPr>
        <w:t>discount rate</w:t>
      </w:r>
      <w:r w:rsidR="00717D6F">
        <w:rPr>
          <w:iCs/>
          <w:lang w:eastAsia="en-GB"/>
        </w:rPr>
        <w:t xml:space="preserve">; and </w:t>
      </w:r>
      <m:oMath>
        <m:sSub>
          <m:sSubPr>
            <m:ctrlPr>
              <w:rPr>
                <w:rFonts w:ascii="Cambria Math" w:hAnsi="Cambria Math"/>
                <w:lang w:eastAsia="en-GB"/>
              </w:rPr>
            </m:ctrlPr>
          </m:sSubPr>
          <m:e>
            <m:r>
              <w:rPr>
                <w:rFonts w:ascii="Cambria Math" w:hAnsi="Cambria Math"/>
                <w:lang w:eastAsia="en-GB"/>
              </w:rPr>
              <m:t>E</m:t>
            </m:r>
          </m:e>
          <m:sub>
            <m:r>
              <w:rPr>
                <w:rFonts w:ascii="Cambria Math" w:hAnsi="Cambria Math"/>
                <w:lang w:eastAsia="en-GB"/>
              </w:rPr>
              <m:t>t</m:t>
            </m:r>
          </m:sub>
        </m:sSub>
      </m:oMath>
      <w:r w:rsidR="00717D6F">
        <w:rPr>
          <w:lang w:eastAsia="en-GB"/>
        </w:rPr>
        <w:t xml:space="preserve"> is the </w:t>
      </w:r>
      <w:r w:rsidR="00924013">
        <w:rPr>
          <w:lang w:eastAsia="en-GB"/>
        </w:rPr>
        <w:t xml:space="preserve">value of energy produced at time </w:t>
      </w:r>
      <m:oMath>
        <m:r>
          <w:rPr>
            <w:rFonts w:ascii="Cambria Math" w:hAnsi="Cambria Math"/>
            <w:lang w:eastAsia="en-GB"/>
          </w:rPr>
          <m:t>t</m:t>
        </m:r>
      </m:oMath>
      <w:r w:rsidR="00717D6F">
        <w:rPr>
          <w:lang w:eastAsia="en-GB"/>
        </w:rPr>
        <w:t>.</w:t>
      </w:r>
    </w:p>
    <w:p w14:paraId="0B9DA568" w14:textId="52D35A48" w:rsidR="00E56F58" w:rsidRPr="00E56F58" w:rsidRDefault="00583E6F" w:rsidP="00E56F58">
      <w:pPr>
        <w:pStyle w:val="Heading3"/>
      </w:pPr>
      <w:r>
        <w:t>Categorization of ESG Benefits</w:t>
      </w:r>
    </w:p>
    <w:p w14:paraId="286C59CB" w14:textId="79692247" w:rsidR="000820EA" w:rsidRDefault="00E53F93" w:rsidP="00CA4B3E">
      <w:r w:rsidRPr="00E53F93">
        <w:t xml:space="preserve">Within this </w:t>
      </w:r>
      <w:r w:rsidR="00D3037F">
        <w:t>framework</w:t>
      </w:r>
      <w:r w:rsidRPr="00E53F93">
        <w:t xml:space="preserve">, ESG parameters are separated into two categories. Market-based components, such as carbon credits or RECs, </w:t>
      </w:r>
      <w:r w:rsidR="006B3103">
        <w:t xml:space="preserve">are incorporated directly into the financial model and </w:t>
      </w:r>
      <w:r w:rsidRPr="00E53F93">
        <w:t>discounted at the market rate to produce investor-grade LCOE. Social components, such as water savings or employment impacts, are monetized separately using a social discount rate and can then be evaluated for their potential conversion into incentive structures. This dichotomy allows the model to produce both an investor-aligned LCOE and a policy-oriented analytical outcome within a single framework.</w:t>
      </w:r>
    </w:p>
    <w:p w14:paraId="55A14A9E" w14:textId="05B93573" w:rsidR="0077136B" w:rsidRDefault="0077136B" w:rsidP="0077136B">
      <w:pPr>
        <w:pStyle w:val="TableCaption"/>
      </w:pPr>
      <w:r>
        <w:t>ESG</w:t>
      </w:r>
      <w:r w:rsidR="00746F40">
        <w:t xml:space="preserve"> Parameter Categories</w:t>
      </w:r>
    </w:p>
    <w:tbl>
      <w:tblPr>
        <w:tblStyle w:val="TableGrid"/>
        <w:tblW w:w="9639" w:type="dxa"/>
        <w:tblInd w:w="-5" w:type="dxa"/>
        <w:tblLook w:val="04A0" w:firstRow="1" w:lastRow="0" w:firstColumn="1" w:lastColumn="0" w:noHBand="0" w:noVBand="1"/>
      </w:tblPr>
      <w:tblGrid>
        <w:gridCol w:w="4678"/>
        <w:gridCol w:w="2410"/>
        <w:gridCol w:w="2551"/>
      </w:tblGrid>
      <w:tr w:rsidR="00E866B3" w14:paraId="6AEB62F7" w14:textId="77777777" w:rsidTr="00197FC8">
        <w:tc>
          <w:tcPr>
            <w:tcW w:w="4678" w:type="dxa"/>
          </w:tcPr>
          <w:p w14:paraId="3AD2366B" w14:textId="0E62FC41" w:rsidR="00E866B3" w:rsidRPr="00150B86" w:rsidRDefault="00E866B3" w:rsidP="00511BCF">
            <w:pPr>
              <w:pStyle w:val="Table"/>
              <w:jc w:val="left"/>
            </w:pPr>
            <w:r w:rsidRPr="00150B86">
              <w:t>ESG Parameter</w:t>
            </w:r>
          </w:p>
        </w:tc>
        <w:tc>
          <w:tcPr>
            <w:tcW w:w="2410" w:type="dxa"/>
          </w:tcPr>
          <w:p w14:paraId="21AD3612" w14:textId="5A61DDD8" w:rsidR="00E866B3" w:rsidRPr="00150B86" w:rsidRDefault="00E866B3" w:rsidP="00CA4B3E">
            <w:r w:rsidRPr="00150B86">
              <w:t>Symbol</w:t>
            </w:r>
          </w:p>
        </w:tc>
        <w:tc>
          <w:tcPr>
            <w:tcW w:w="2551" w:type="dxa"/>
          </w:tcPr>
          <w:p w14:paraId="2D7E8CC6" w14:textId="2D75F7B9" w:rsidR="00E866B3" w:rsidRPr="00150B86" w:rsidRDefault="00E866B3" w:rsidP="00CA4B3E">
            <w:r w:rsidRPr="00150B86">
              <w:t>Category</w:t>
            </w:r>
          </w:p>
        </w:tc>
      </w:tr>
      <w:tr w:rsidR="00E866B3" w14:paraId="574C0FB1" w14:textId="77777777" w:rsidTr="00197FC8">
        <w:tc>
          <w:tcPr>
            <w:tcW w:w="4678" w:type="dxa"/>
          </w:tcPr>
          <w:p w14:paraId="6340922B" w14:textId="00A2BA90" w:rsidR="00E866B3" w:rsidRDefault="00E866B3" w:rsidP="00CA4B3E">
            <w:r>
              <w:t>Carbon Offset</w:t>
            </w:r>
          </w:p>
        </w:tc>
        <w:tc>
          <w:tcPr>
            <w:tcW w:w="2410" w:type="dxa"/>
          </w:tcPr>
          <w:p w14:paraId="77AAA46A" w14:textId="3E5A0366" w:rsidR="00E866B3" w:rsidRPr="00E866B3" w:rsidRDefault="004109EA" w:rsidP="00CA4B3E">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carbon</m:t>
                    </m:r>
                  </m:sub>
                </m:sSub>
              </m:oMath>
            </m:oMathPara>
          </w:p>
        </w:tc>
        <w:tc>
          <w:tcPr>
            <w:tcW w:w="2551" w:type="dxa"/>
          </w:tcPr>
          <w:p w14:paraId="3F345FCD" w14:textId="2808E0F3" w:rsidR="00E866B3" w:rsidRDefault="00E866B3" w:rsidP="00CA4B3E">
            <w:r>
              <w:t>Market</w:t>
            </w:r>
          </w:p>
        </w:tc>
      </w:tr>
      <w:tr w:rsidR="00E866B3" w14:paraId="54E4A6F4" w14:textId="77777777" w:rsidTr="00197FC8">
        <w:tc>
          <w:tcPr>
            <w:tcW w:w="4678" w:type="dxa"/>
          </w:tcPr>
          <w:p w14:paraId="1C02D970" w14:textId="6BBBBC94" w:rsidR="00E866B3" w:rsidRDefault="00E866B3" w:rsidP="00CA4B3E">
            <w:r>
              <w:t>Renewable Energy Credits (RECs)</w:t>
            </w:r>
          </w:p>
        </w:tc>
        <w:tc>
          <w:tcPr>
            <w:tcW w:w="2410" w:type="dxa"/>
          </w:tcPr>
          <w:p w14:paraId="77EFBAAA" w14:textId="79D41C0A" w:rsidR="00E866B3" w:rsidRPr="00E866B3" w:rsidRDefault="004109EA" w:rsidP="00CA4B3E">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REC</m:t>
                    </m:r>
                  </m:sub>
                </m:sSub>
              </m:oMath>
            </m:oMathPara>
          </w:p>
        </w:tc>
        <w:tc>
          <w:tcPr>
            <w:tcW w:w="2551" w:type="dxa"/>
          </w:tcPr>
          <w:p w14:paraId="345C52E3" w14:textId="36A520FF" w:rsidR="00E866B3" w:rsidRDefault="00E866B3" w:rsidP="00CA4B3E">
            <w:r>
              <w:t>Market</w:t>
            </w:r>
          </w:p>
        </w:tc>
      </w:tr>
      <w:tr w:rsidR="00E866B3" w14:paraId="470DD179" w14:textId="77777777" w:rsidTr="00197FC8">
        <w:tc>
          <w:tcPr>
            <w:tcW w:w="4678" w:type="dxa"/>
          </w:tcPr>
          <w:p w14:paraId="62E5CC55" w14:textId="58D51C77" w:rsidR="00E866B3" w:rsidRDefault="00E866B3" w:rsidP="00CA4B3E">
            <w:r>
              <w:t>Idle Rig Discount</w:t>
            </w:r>
          </w:p>
        </w:tc>
        <w:tc>
          <w:tcPr>
            <w:tcW w:w="2410" w:type="dxa"/>
          </w:tcPr>
          <w:p w14:paraId="3CB6E27C" w14:textId="6CFB4788" w:rsidR="00E866B3" w:rsidRPr="00E11FBD" w:rsidRDefault="004109EA" w:rsidP="00CA4B3E">
            <w:pPr>
              <w:rPr>
                <w:i/>
              </w:rPr>
            </w:pPr>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rig</m:t>
                    </m:r>
                  </m:sub>
                </m:sSub>
              </m:oMath>
            </m:oMathPara>
          </w:p>
        </w:tc>
        <w:tc>
          <w:tcPr>
            <w:tcW w:w="2551" w:type="dxa"/>
          </w:tcPr>
          <w:p w14:paraId="24DCD616" w14:textId="5CD3998F" w:rsidR="00E866B3" w:rsidRDefault="00E866B3" w:rsidP="00CA4B3E">
            <w:r>
              <w:t>Market</w:t>
            </w:r>
          </w:p>
        </w:tc>
      </w:tr>
      <w:tr w:rsidR="00E866B3" w14:paraId="510FD525" w14:textId="77777777" w:rsidTr="00197FC8">
        <w:tc>
          <w:tcPr>
            <w:tcW w:w="4678" w:type="dxa"/>
          </w:tcPr>
          <w:p w14:paraId="1E5EFE9C" w14:textId="0E3D3949" w:rsidR="00E866B3" w:rsidRDefault="00E866B3" w:rsidP="00CA4B3E">
            <w:r>
              <w:t>Water Offset</w:t>
            </w:r>
          </w:p>
        </w:tc>
        <w:tc>
          <w:tcPr>
            <w:tcW w:w="2410" w:type="dxa"/>
          </w:tcPr>
          <w:p w14:paraId="2A73C5A8" w14:textId="62CBA8D9" w:rsidR="00E866B3" w:rsidRPr="00E866B3" w:rsidRDefault="004109EA" w:rsidP="00CA4B3E">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water</m:t>
                    </m:r>
                  </m:sub>
                </m:sSub>
              </m:oMath>
            </m:oMathPara>
          </w:p>
        </w:tc>
        <w:tc>
          <w:tcPr>
            <w:tcW w:w="2551" w:type="dxa"/>
          </w:tcPr>
          <w:p w14:paraId="3D5A6CE1" w14:textId="4F632AF5" w:rsidR="00E866B3" w:rsidRDefault="00E866B3" w:rsidP="00CA4B3E">
            <w:r>
              <w:t>Social</w:t>
            </w:r>
          </w:p>
        </w:tc>
      </w:tr>
      <w:tr w:rsidR="00E866B3" w14:paraId="65E8CE4A" w14:textId="77777777" w:rsidTr="00197FC8">
        <w:tc>
          <w:tcPr>
            <w:tcW w:w="4678" w:type="dxa"/>
          </w:tcPr>
          <w:p w14:paraId="7ACE7607" w14:textId="47729B42" w:rsidR="00E866B3" w:rsidRDefault="00E866B3" w:rsidP="00CA4B3E">
            <w:r>
              <w:t>Jobs Benefit</w:t>
            </w:r>
          </w:p>
        </w:tc>
        <w:tc>
          <w:tcPr>
            <w:tcW w:w="2410" w:type="dxa"/>
          </w:tcPr>
          <w:p w14:paraId="5B244819" w14:textId="74046F07" w:rsidR="00E866B3" w:rsidRPr="00E866B3" w:rsidRDefault="004109EA" w:rsidP="00CA4B3E">
            <w:pPr>
              <w:rPr>
                <w:i/>
              </w:rPr>
            </w:pPr>
            <m:oMathPara>
              <m:oMathParaPr>
                <m:jc m:val="left"/>
              </m:oMathParaPr>
              <m:oMath>
                <m:sSub>
                  <m:sSubPr>
                    <m:ctrlPr>
                      <w:rPr>
                        <w:rFonts w:ascii="Cambria Math" w:hAnsi="Cambria Math"/>
                        <w:i/>
                      </w:rPr>
                    </m:ctrlPr>
                  </m:sSubPr>
                  <m:e>
                    <m:r>
                      <w:rPr>
                        <w:rFonts w:ascii="Cambria Math" w:hAnsi="Cambria Math"/>
                      </w:rPr>
                      <m:t>B</m:t>
                    </m:r>
                  </m:e>
                  <m:sub>
                    <m:r>
                      <w:rPr>
                        <w:rFonts w:ascii="Cambria Math" w:hAnsi="Cambria Math"/>
                      </w:rPr>
                      <m:t>jobs</m:t>
                    </m:r>
                  </m:sub>
                </m:sSub>
              </m:oMath>
            </m:oMathPara>
          </w:p>
        </w:tc>
        <w:tc>
          <w:tcPr>
            <w:tcW w:w="2551" w:type="dxa"/>
          </w:tcPr>
          <w:p w14:paraId="5D92DB02" w14:textId="4AB9F622" w:rsidR="00E866B3" w:rsidRDefault="00E866B3" w:rsidP="00CA4B3E">
            <w:r>
              <w:t>Social</w:t>
            </w:r>
          </w:p>
        </w:tc>
      </w:tr>
    </w:tbl>
    <w:p w14:paraId="60D8B202" w14:textId="77777777" w:rsidR="000820EA" w:rsidRDefault="000820EA" w:rsidP="00CA4B3E"/>
    <w:p w14:paraId="0E55F8A8" w14:textId="2118960F" w:rsidR="00067A1A" w:rsidRDefault="002731BD" w:rsidP="00CA4B3E">
      <w:r>
        <w:lastRenderedPageBreak/>
        <w:t>For each category, a</w:t>
      </w:r>
      <w:r w:rsidR="005C581E">
        <w:t>n aggregated</w:t>
      </w:r>
      <w:r>
        <w:t xml:space="preserve"> </w:t>
      </w:r>
      <w:r w:rsidR="005C581E">
        <w:t>monetized benefit</w:t>
      </w:r>
      <w:r>
        <w:t xml:space="preserve"> </w:t>
      </w:r>
      <w:r w:rsidR="005C581E">
        <w:t>at any time can be computed</w:t>
      </w:r>
      <w:r w:rsidR="003B497C">
        <w:t xml:space="preserve">, driven by </w:t>
      </w:r>
      <w:r w:rsidR="00136C8E">
        <w:t xml:space="preserve">project parameters such as energy produced or </w:t>
      </w:r>
      <w:r w:rsidR="00880325">
        <w:t xml:space="preserve">people employed during that </w:t>
      </w:r>
      <w:r w:rsidR="000C2BDF">
        <w:t>period</w:t>
      </w:r>
      <w:r w:rsidR="00880325">
        <w:t>.</w:t>
      </w:r>
    </w:p>
    <w:tbl>
      <w:tblPr>
        <w:tblStyle w:val="TableGrid"/>
        <w:tblW w:w="0" w:type="auto"/>
        <w:tblInd w:w="2268" w:type="dxa"/>
        <w:tblLook w:val="04A0" w:firstRow="1" w:lastRow="0" w:firstColumn="1" w:lastColumn="0" w:noHBand="0" w:noVBand="1"/>
      </w:tblPr>
      <w:tblGrid>
        <w:gridCol w:w="2486"/>
        <w:gridCol w:w="2617"/>
      </w:tblGrid>
      <w:tr w:rsidR="00587CEE" w14:paraId="45437BF6" w14:textId="77777777" w:rsidTr="00587CEE">
        <w:trPr>
          <w:trHeight w:val="732"/>
        </w:trPr>
        <w:tc>
          <w:tcPr>
            <w:tcW w:w="2486" w:type="dxa"/>
            <w:tcBorders>
              <w:top w:val="nil"/>
              <w:left w:val="nil"/>
              <w:bottom w:val="nil"/>
              <w:right w:val="nil"/>
            </w:tcBorders>
          </w:tcPr>
          <w:p w14:paraId="47210AE9" w14:textId="70C396E2" w:rsidR="0052246D" w:rsidRDefault="004109EA" w:rsidP="00CA4B3E">
            <m:oMathPara>
              <m:oMath>
                <m:sSub>
                  <m:sSubPr>
                    <m:ctrlPr>
                      <w:rPr>
                        <w:rFonts w:ascii="Cambria Math" w:hAnsi="Cambria Math"/>
                        <w:i/>
                      </w:rPr>
                    </m:ctrlPr>
                  </m:sSubPr>
                  <m:e>
                    <m:r>
                      <w:rPr>
                        <w:rFonts w:ascii="Cambria Math" w:hAnsi="Cambria Math"/>
                      </w:rPr>
                      <m:t>B</m:t>
                    </m:r>
                  </m:e>
                  <m:sub>
                    <m:r>
                      <w:rPr>
                        <w:rFonts w:ascii="Cambria Math" w:hAnsi="Cambria Math"/>
                      </w:rPr>
                      <m:t>market</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rPr>
                      <m:t>∈</m:t>
                    </m:r>
                    <m:r>
                      <m:rPr>
                        <m:scr m:val="script"/>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e>
                </m:nary>
              </m:oMath>
            </m:oMathPara>
          </w:p>
        </w:tc>
        <w:tc>
          <w:tcPr>
            <w:tcW w:w="2617" w:type="dxa"/>
            <w:tcBorders>
              <w:top w:val="nil"/>
              <w:left w:val="nil"/>
              <w:bottom w:val="nil"/>
              <w:right w:val="nil"/>
            </w:tcBorders>
          </w:tcPr>
          <w:p w14:paraId="59AC6249" w14:textId="602E3C13" w:rsidR="0052246D" w:rsidRDefault="004109EA" w:rsidP="00CA4B3E">
            <m:oMathPara>
              <m:oMath>
                <m:sSub>
                  <m:sSubPr>
                    <m:ctrlPr>
                      <w:rPr>
                        <w:rFonts w:ascii="Cambria Math" w:hAnsi="Cambria Math"/>
                        <w:i/>
                      </w:rPr>
                    </m:ctrlPr>
                  </m:sSubPr>
                  <m:e>
                    <m:r>
                      <w:rPr>
                        <w:rFonts w:ascii="Cambria Math" w:hAnsi="Cambria Math"/>
                      </w:rPr>
                      <m:t>B</m:t>
                    </m:r>
                  </m:e>
                  <m:sub>
                    <m:r>
                      <w:rPr>
                        <w:rFonts w:ascii="Cambria Math" w:hAnsi="Cambria Math"/>
                      </w:rPr>
                      <m:t>social</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rPr>
                      <m:t>∈</m:t>
                    </m:r>
                    <m:r>
                      <m:rPr>
                        <m:scr m:val="script"/>
                      </m:rPr>
                      <w:rPr>
                        <w:rFonts w:ascii="Cambria Math" w:hAnsi="Cambria Math"/>
                      </w:rPr>
                      <m:t>S</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m:t>
                        </m:r>
                      </m:e>
                    </m:d>
                    <m:ctrlPr>
                      <w:rPr>
                        <w:rFonts w:ascii="Cambria Math" w:hAnsi="Cambria Math"/>
                        <w:i/>
                      </w:rPr>
                    </m:ctrlPr>
                  </m:e>
                </m:nary>
              </m:oMath>
            </m:oMathPara>
          </w:p>
        </w:tc>
      </w:tr>
    </w:tbl>
    <w:p w14:paraId="5611B886" w14:textId="79360729" w:rsidR="00EB7DD9" w:rsidRPr="00CB520C" w:rsidRDefault="00B30298" w:rsidP="00EB7DD9">
      <w:r>
        <w:t>The aggregated benefits at each time are then integrated into the LCOE</w:t>
      </w:r>
      <w:r w:rsidR="004368DB">
        <w:t xml:space="preserve"> </w:t>
      </w:r>
      <w:r>
        <w:t>calculation</w:t>
      </w:r>
      <w:r w:rsidR="004368DB">
        <w:t xml:space="preserve">, denoted as  </w:t>
      </w:r>
      <m:oMath>
        <m:r>
          <w:rPr>
            <w:rFonts w:ascii="Cambria Math" w:hAnsi="Cambria Math"/>
          </w:rPr>
          <m:t>XLCOE</m:t>
        </m:r>
      </m:oMath>
      <w:r w:rsidR="004368DB">
        <w:t xml:space="preserve">, and computed </w:t>
      </w:r>
      <w:r>
        <w:t>as follows:</w:t>
      </w:r>
      <w:r w:rsidR="005C581E">
        <w:t xml:space="preserve"> </w:t>
      </w:r>
    </w:p>
    <w:p w14:paraId="00E0C0AE" w14:textId="28BDACF4" w:rsidR="00EB7DD9" w:rsidRPr="003C00B4" w:rsidRDefault="00D274B3" w:rsidP="00EB7DD9">
      <m:oMathPara>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CapE</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+OpE</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market</m:t>
                          </m:r>
                        </m:sub>
                      </m:sSub>
                      <m:d>
                        <m:dPr>
                          <m:ctrlPr>
                            <w:rPr>
                              <w:rFonts w:ascii="Cambria Math" w:hAnsi="Cambria Math"/>
                              <w:i/>
                            </w:rPr>
                          </m:ctrlPr>
                        </m:dPr>
                        <m:e>
                          <m:r>
                            <w:rPr>
                              <w:rFonts w:ascii="Cambria Math" w:hAnsi="Cambria Math"/>
                            </w:rPr>
                            <m:t>t</m:t>
                          </m:r>
                        </m:e>
                      </m:d>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ctrlPr>
                        <w:rPr>
                          <w:rFonts w:ascii="Cambria Math" w:hAnsi="Cambria Math"/>
                          <w:i/>
                        </w:rPr>
                      </m:ctrlPr>
                    </m:den>
                  </m:f>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t</m:t>
                          </m:r>
                        </m:sub>
                      </m:sSub>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ctrlPr>
                        <w:rPr>
                          <w:rFonts w:ascii="Cambria Math" w:hAnsi="Cambria Math"/>
                          <w:i/>
                        </w:rPr>
                      </m:ctrlPr>
                    </m:den>
                  </m:f>
                  <m:ctrlPr>
                    <w:rPr>
                      <w:rFonts w:ascii="Cambria Math" w:hAnsi="Cambria Math"/>
                      <w:i/>
                    </w:rPr>
                  </m:ctrlPr>
                </m:e>
              </m:nary>
              <m:ctrlPr>
                <w:rPr>
                  <w:rFonts w:ascii="Cambria Math" w:hAnsi="Cambria Math"/>
                  <w:i/>
                </w:rPr>
              </m:ctrlPr>
            </m:den>
          </m:f>
        </m:oMath>
      </m:oMathPara>
    </w:p>
    <w:p w14:paraId="54284D51" w14:textId="07D17577" w:rsidR="00CB520C" w:rsidRPr="00CB520C" w:rsidRDefault="00EB7DD9" w:rsidP="009905AA">
      <w:r>
        <w:t>and</w:t>
      </w:r>
    </w:p>
    <w:p w14:paraId="7D9A51F7" w14:textId="72D9B7D7" w:rsidR="009905AA" w:rsidRPr="003C00B4" w:rsidRDefault="00D274B3" w:rsidP="009905AA">
      <m:oMathPara>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m,s</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w:rPr>
                          <w:rFonts w:ascii="Cambria Math" w:hAnsi="Cambria Math"/>
                        </w:rPr>
                        <m:t>CapE</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+OpE</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market</m:t>
                          </m:r>
                        </m:sub>
                      </m:sSub>
                      <m:d>
                        <m:dPr>
                          <m:ctrlPr>
                            <w:rPr>
                              <w:rFonts w:ascii="Cambria Math" w:hAnsi="Cambria Math"/>
                              <w:i/>
                            </w:rPr>
                          </m:ctrlPr>
                        </m:dPr>
                        <m:e>
                          <m:r>
                            <w:rPr>
                              <w:rFonts w:ascii="Cambria Math" w:hAnsi="Cambria Math"/>
                            </w:rPr>
                            <m:t>t</m:t>
                          </m:r>
                        </m:e>
                      </m:d>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ctrlPr>
                        <w:rPr>
                          <w:rFonts w:ascii="Cambria Math" w:hAnsi="Cambria Math"/>
                          <w:i/>
                        </w:rPr>
                      </m:ctrlPr>
                    </m:den>
                  </m:f>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social</m:t>
                          </m:r>
                        </m:sub>
                      </m:sSub>
                      <m:d>
                        <m:dPr>
                          <m:ctrlPr>
                            <w:rPr>
                              <w:rFonts w:ascii="Cambria Math" w:hAnsi="Cambria Math"/>
                              <w:i/>
                            </w:rPr>
                          </m:ctrlPr>
                        </m:dPr>
                        <m:e>
                          <m:r>
                            <w:rPr>
                              <w:rFonts w:ascii="Cambria Math" w:hAnsi="Cambria Math"/>
                            </w:rPr>
                            <m:t>t</m:t>
                          </m:r>
                        </m:e>
                      </m:d>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S</m:t>
                                  </m:r>
                                </m:sub>
                              </m:sSub>
                            </m:e>
                          </m:d>
                        </m:e>
                        <m:sup>
                          <m:r>
                            <w:rPr>
                              <w:rFonts w:ascii="Cambria Math" w:hAnsi="Cambria Math"/>
                            </w:rPr>
                            <m:t>t</m:t>
                          </m:r>
                        </m:sup>
                      </m:sSup>
                      <m:ctrlPr>
                        <w:rPr>
                          <w:rFonts w:ascii="Cambria Math" w:hAnsi="Cambria Math"/>
                          <w:i/>
                        </w:rPr>
                      </m:ctrlPr>
                    </m:den>
                  </m:f>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t</m:t>
                          </m:r>
                        </m:sub>
                      </m:sSub>
                      <m:ctrlPr>
                        <w:rPr>
                          <w:rFonts w:ascii="Cambria Math" w:hAnsi="Cambria Math"/>
                          <w:i/>
                        </w:rPr>
                      </m:ctrlP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ctrlPr>
                        <w:rPr>
                          <w:rFonts w:ascii="Cambria Math" w:hAnsi="Cambria Math"/>
                          <w:i/>
                        </w:rPr>
                      </m:ctrlPr>
                    </m:den>
                  </m:f>
                  <m:ctrlPr>
                    <w:rPr>
                      <w:rFonts w:ascii="Cambria Math" w:hAnsi="Cambria Math"/>
                      <w:i/>
                    </w:rPr>
                  </m:ctrlPr>
                </m:e>
              </m:nary>
              <m:ctrlPr>
                <w:rPr>
                  <w:rFonts w:ascii="Cambria Math" w:hAnsi="Cambria Math"/>
                  <w:i/>
                </w:rPr>
              </m:ctrlPr>
            </m:den>
          </m:f>
        </m:oMath>
      </m:oMathPara>
    </w:p>
    <w:p w14:paraId="0397561A" w14:textId="1E21D612" w:rsidR="00EB7DD9" w:rsidRDefault="00746F40" w:rsidP="00587CEE">
      <w:r>
        <w:t>w</w:t>
      </w:r>
      <w:r w:rsidR="0003571F">
        <w:t>here</w:t>
      </w:r>
      <m:oMath>
        <m:r>
          <w:rPr>
            <w:rFonts w:ascii="Cambria Math" w:hAnsi="Cambria Math"/>
          </w:rPr>
          <m:t xml:space="preserve"> XLCO</m:t>
        </m:r>
        <m:sSub>
          <m:sSubPr>
            <m:ctrlPr>
              <w:rPr>
                <w:rFonts w:ascii="Cambria Math" w:hAnsi="Cambria Math"/>
                <w:i/>
              </w:rPr>
            </m:ctrlPr>
          </m:sSubPr>
          <m:e>
            <m:r>
              <w:rPr>
                <w:rFonts w:ascii="Cambria Math" w:hAnsi="Cambria Math"/>
              </w:rPr>
              <m:t>E</m:t>
            </m:r>
          </m:e>
          <m:sub>
            <m:r>
              <w:rPr>
                <w:rFonts w:ascii="Cambria Math" w:hAnsi="Cambria Math"/>
              </w:rPr>
              <m:t>m</m:t>
            </m:r>
          </m:sub>
        </m:sSub>
      </m:oMath>
      <w:r w:rsidR="006172B5">
        <w:t xml:space="preserve"> is LCOE</w:t>
      </w:r>
      <w:r w:rsidR="008B0BAA">
        <w:t xml:space="preserve"> including</w:t>
      </w:r>
      <w:r w:rsidR="00C7264C" w:rsidRPr="00C7264C">
        <w:t xml:space="preserve"> monetizable, market-priced ESG parameters</w:t>
      </w:r>
      <w:r w:rsidR="008B0BAA">
        <w:t xml:space="preserve">; </w:t>
      </w:r>
      <m:oMath>
        <m:r>
          <w:rPr>
            <w:rFonts w:ascii="Cambria Math" w:hAnsi="Cambria Math"/>
          </w:rPr>
          <m:t xml:space="preserve"> XLCO</m:t>
        </m:r>
        <m:sSub>
          <m:sSubPr>
            <m:ctrlPr>
              <w:rPr>
                <w:rFonts w:ascii="Cambria Math" w:hAnsi="Cambria Math"/>
                <w:i/>
              </w:rPr>
            </m:ctrlPr>
          </m:sSubPr>
          <m:e>
            <m:r>
              <w:rPr>
                <w:rFonts w:ascii="Cambria Math" w:hAnsi="Cambria Math"/>
              </w:rPr>
              <m:t>E</m:t>
            </m:r>
          </m:e>
          <m:sub>
            <m:r>
              <w:rPr>
                <w:rFonts w:ascii="Cambria Math" w:hAnsi="Cambria Math"/>
              </w:rPr>
              <m:t>m,s</m:t>
            </m:r>
          </m:sub>
        </m:sSub>
      </m:oMath>
      <w:r w:rsidR="00113DF2">
        <w:tab/>
      </w:r>
      <w:r w:rsidR="008B0BAA">
        <w:t xml:space="preserve">is </w:t>
      </w:r>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m:t>
            </m:r>
          </m:sub>
        </m:sSub>
      </m:oMath>
      <w:r w:rsidR="008B0BAA">
        <w:t xml:space="preserve"> </w:t>
      </w:r>
      <w:r w:rsidR="00C7264C">
        <w:t xml:space="preserve">plus </w:t>
      </w:r>
      <w:r w:rsidR="00113DF2">
        <w:t>social impacts internalized as economic incentives</w:t>
      </w:r>
      <w:r w:rsidR="0060722C">
        <w:t xml:space="preserve">; and </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S</m:t>
            </m:r>
          </m:sub>
        </m:sSub>
      </m:oMath>
      <w:r w:rsidR="0060722C">
        <w:t xml:space="preserve"> is the </w:t>
      </w:r>
      <w:r w:rsidR="00EB7DD9">
        <w:t>social discount rate</w:t>
      </w:r>
      <w:r w:rsidR="0060722C">
        <w:t>.</w:t>
      </w:r>
    </w:p>
    <w:p w14:paraId="58965AD3" w14:textId="0C72853B" w:rsidR="00C7264C" w:rsidRDefault="00F2794D" w:rsidP="00C7264C">
      <w:r w:rsidRPr="00F2794D">
        <w:t>The choice of discount rate applied to the social components within</w:t>
      </w:r>
      <w:r>
        <w:t xml:space="preserve"> </w:t>
      </w:r>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m,s</m:t>
            </m:r>
          </m:sub>
        </m:sSub>
      </m:oMath>
      <w:r w:rsidRPr="00F2794D">
        <w:t xml:space="preserve"> is left to the discretion of the modeler. Although there is precedent for valuing social impacts using a lower social discount rate, a reasonable counterargument is that once these impacts are translated into monetized incentives, they function as conventional investor-facing cash flows. In that case, the market discount rate may be more appropriate. This flexibility allows the framework to accommodate either interpretation, depending on the policy context and the modeler’s assumptions.</w:t>
      </w:r>
    </w:p>
    <w:p w14:paraId="3CD4D599" w14:textId="67E341B1" w:rsidR="007E722F" w:rsidRPr="003C00B4" w:rsidRDefault="007E722F" w:rsidP="00C7264C">
      <w:r w:rsidRPr="007E722F">
        <w:t xml:space="preserve">Energy production is discounted at the market rate </w:t>
      </w:r>
      <m:oMath>
        <m:r>
          <w:rPr>
            <w:rFonts w:ascii="Cambria Math" w:hAnsi="Cambria Math"/>
          </w:rPr>
          <m:t>r</m:t>
        </m:r>
      </m:oMath>
      <w:r w:rsidRPr="007E722F">
        <w:t xml:space="preserve"> in both</w:t>
      </w:r>
      <w:r w:rsidRPr="007E722F">
        <w:rPr>
          <w:rFonts w:ascii="Cambria Math" w:hAnsi="Cambria Math"/>
          <w:i/>
        </w:rPr>
        <w:t xml:space="preserve"> </w:t>
      </w:r>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m:t>
            </m:r>
          </m:sub>
        </m:sSub>
      </m:oMath>
      <w:r w:rsidRPr="007E722F">
        <w:t xml:space="preserve"> and </w:t>
      </w:r>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m,s</m:t>
            </m:r>
          </m:sub>
        </m:sSub>
        <m:r>
          <m:rPr>
            <m:sty m:val="p"/>
          </m:rPr>
          <w:rPr>
            <w:rFonts w:ascii="Cambria Math" w:hAnsi="Cambria Math"/>
          </w:rPr>
          <m:t xml:space="preserve"> </m:t>
        </m:r>
      </m:oMath>
      <w:r>
        <w:t xml:space="preserve"> </w:t>
      </w:r>
      <w:r w:rsidRPr="007E722F">
        <w:t>because the denominator represents investor-relevant energy value, not social welfare; the social discount rate applies only to the monetized social benefits in the numerator and does not alter the investor-facing treatment of delivered energy.</w:t>
      </w:r>
    </w:p>
    <w:p w14:paraId="7EAA9054" w14:textId="1FDEB64E" w:rsidR="00773742" w:rsidRDefault="00D93AB2" w:rsidP="00773742">
      <w:pPr>
        <w:pStyle w:val="Heading1"/>
      </w:pPr>
      <w:r>
        <w:t>METHODOLOGY</w:t>
      </w:r>
    </w:p>
    <w:p w14:paraId="1CC6D2CB" w14:textId="2C352903" w:rsidR="00092A6A" w:rsidRDefault="009D1677" w:rsidP="00905100">
      <w:r>
        <w:t>To evaluate the impact of the proposed conceptual framework, we will model</w:t>
      </w:r>
      <w:r w:rsidR="00184DB7">
        <w:t xml:space="preserve"> a</w:t>
      </w:r>
      <w:r w:rsidR="008C6A2E">
        <w:t xml:space="preserve"> sample</w:t>
      </w:r>
      <w:r>
        <w:t xml:space="preserve"> </w:t>
      </w:r>
      <w:r w:rsidR="00B07684">
        <w:t>project</w:t>
      </w:r>
      <w:r w:rsidR="00701F10">
        <w:t xml:space="preserve"> </w:t>
      </w:r>
      <w:r>
        <w:t xml:space="preserve">with distinct economic drivers and </w:t>
      </w:r>
      <w:r w:rsidR="00B172C2">
        <w:t xml:space="preserve">some measure of </w:t>
      </w:r>
      <w:r>
        <w:t>publicly available ESG data. The analysis will rely on time series</w:t>
      </w:r>
      <w:r w:rsidR="00830694">
        <w:t xml:space="preserve"> cashflow</w:t>
      </w:r>
      <w:r w:rsidR="00C16DF7">
        <w:t xml:space="preserve"> </w:t>
      </w:r>
      <w:r w:rsidR="00830694">
        <w:t>and production data</w:t>
      </w:r>
      <w:r>
        <w:t xml:space="preserve"> exports from </w:t>
      </w:r>
      <w:proofErr w:type="spellStart"/>
      <w:r w:rsidR="00033B74">
        <w:t>Eavor</w:t>
      </w:r>
      <w:proofErr w:type="spellEnd"/>
      <w:r w:rsidR="00033B74">
        <w:t xml:space="preserve">-Suite™, a commercial tool </w:t>
      </w:r>
      <w:r w:rsidR="00495220">
        <w:t xml:space="preserve">which models </w:t>
      </w:r>
      <w:r w:rsidR="001365E2">
        <w:t>techno-economics for</w:t>
      </w:r>
      <w:r w:rsidR="00467095">
        <w:t xml:space="preserve"> </w:t>
      </w:r>
      <w:r w:rsidR="00033B74">
        <w:t xml:space="preserve">closed loop </w:t>
      </w:r>
      <w:r w:rsidR="001A6F95">
        <w:t xml:space="preserve">geothermal </w:t>
      </w:r>
      <w:r w:rsidR="002F2ABA">
        <w:t>systems</w:t>
      </w:r>
      <w:r w:rsidR="00905100">
        <w:t>.</w:t>
      </w:r>
      <w:r w:rsidR="00403159">
        <w:t xml:space="preserve"> This tool was chosen as </w:t>
      </w:r>
      <w:r w:rsidR="00292E96">
        <w:t xml:space="preserve">it is familiar and accessible to the authors, has been validated against the </w:t>
      </w:r>
      <w:r w:rsidR="004C41D6">
        <w:t>open-source</w:t>
      </w:r>
      <w:r w:rsidR="00292E96">
        <w:t xml:space="preserve"> techno-economic model in GEOPHIRES</w:t>
      </w:r>
      <w:r w:rsidR="00490F0D">
        <w:t xml:space="preserve"> (developed by NREL), and supports realistic </w:t>
      </w:r>
      <w:r w:rsidR="004C41D6">
        <w:t>large scale</w:t>
      </w:r>
      <w:r w:rsidR="00490F0D">
        <w:t xml:space="preserve"> development plans</w:t>
      </w:r>
      <w:r w:rsidR="004C41D6">
        <w:t xml:space="preserve"> on a staggered timeline.</w:t>
      </w:r>
    </w:p>
    <w:p w14:paraId="413CE860" w14:textId="78EBE517" w:rsidR="009C5639" w:rsidRPr="009C5639" w:rsidRDefault="007645C6" w:rsidP="00773742">
      <w:r>
        <w:t>Additional</w:t>
      </w:r>
      <w:r w:rsidR="00C16DF7">
        <w:t xml:space="preserve"> cashflow fields will be computed for the</w:t>
      </w:r>
      <w:r w:rsidR="004C1B2F">
        <w:t xml:space="preserve"> proposed</w:t>
      </w:r>
      <w:r w:rsidR="00C16DF7">
        <w:t xml:space="preserve"> </w:t>
      </w:r>
      <w:r w:rsidR="00831089">
        <w:t>ESG parameters in a spreadsheet.</w:t>
      </w:r>
      <w:r w:rsidR="00C16DF7">
        <w:t xml:space="preserve"> </w:t>
      </w:r>
      <w:r w:rsidR="00831089">
        <w:t>T</w:t>
      </w:r>
      <w:r w:rsidR="00FD598C">
        <w:t xml:space="preserve">he baseline </w:t>
      </w:r>
      <m:oMath>
        <m:r>
          <w:rPr>
            <w:rFonts w:ascii="Cambria Math" w:hAnsi="Cambria Math"/>
          </w:rPr>
          <m:t xml:space="preserve">LCOE </m:t>
        </m:r>
      </m:oMath>
      <w:r w:rsidR="00831089">
        <w:t xml:space="preserve">value </w:t>
      </w:r>
      <w:r w:rsidR="00FD598C">
        <w:t xml:space="preserve">will be </w:t>
      </w:r>
      <w:r w:rsidR="00DE150B">
        <w:t xml:space="preserve">compared </w:t>
      </w:r>
      <w:r w:rsidR="006E6B98">
        <w:t>with</w:t>
      </w:r>
      <w:r w:rsidR="009C5639">
        <w:t xml:space="preserve"> the </w:t>
      </w:r>
      <w:r w:rsidR="004C1B2F">
        <w:t>extended</w:t>
      </w:r>
      <w:r w:rsidR="006E6B98">
        <w:t xml:space="preserve"> </w:t>
      </w:r>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xml:space="preserve"> </m:t>
        </m:r>
      </m:oMath>
      <w:r w:rsidR="00CB520C">
        <w:t>and</w:t>
      </w:r>
      <m:oMath>
        <m:r>
          <w:rPr>
            <w:rFonts w:ascii="Cambria Math" w:hAnsi="Cambria Math"/>
          </w:rPr>
          <m:t xml:space="preserve"> XLCO</m:t>
        </m:r>
        <m:sSub>
          <m:sSubPr>
            <m:ctrlPr>
              <w:rPr>
                <w:rFonts w:ascii="Cambria Math" w:hAnsi="Cambria Math"/>
                <w:i/>
              </w:rPr>
            </m:ctrlPr>
          </m:sSubPr>
          <m:e>
            <m:r>
              <w:rPr>
                <w:rFonts w:ascii="Cambria Math" w:hAnsi="Cambria Math"/>
              </w:rPr>
              <m:t>E</m:t>
            </m:r>
          </m:e>
          <m:sub>
            <m:r>
              <w:rPr>
                <w:rFonts w:ascii="Cambria Math" w:hAnsi="Cambria Math"/>
              </w:rPr>
              <m:t>m,s</m:t>
            </m:r>
          </m:sub>
        </m:sSub>
        <m:r>
          <m:rPr>
            <m:sty m:val="p"/>
          </m:rPr>
          <w:rPr>
            <w:rFonts w:ascii="Cambria Math" w:hAnsi="Cambria Math"/>
          </w:rPr>
          <m:t xml:space="preserve"> </m:t>
        </m:r>
      </m:oMath>
      <w:r w:rsidR="00CB520C">
        <w:t>outcomes</w:t>
      </w:r>
      <w:r w:rsidR="009C5639">
        <w:t xml:space="preserve"> as described above.</w:t>
      </w:r>
      <w:r w:rsidR="001D1C9B">
        <w:t xml:space="preserve"> </w:t>
      </w:r>
    </w:p>
    <w:p w14:paraId="38535F4A" w14:textId="39FDBC73" w:rsidR="00773742" w:rsidRDefault="00D97BC9" w:rsidP="00773742">
      <w:pPr>
        <w:pStyle w:val="Heading1"/>
      </w:pPr>
      <w:r>
        <w:t>ASSUMPTIONS</w:t>
      </w:r>
    </w:p>
    <w:p w14:paraId="3AF52503" w14:textId="661AB4EA" w:rsidR="00D97BC9" w:rsidRPr="00D97BC9" w:rsidRDefault="00D97BC9" w:rsidP="00D97BC9">
      <w:r>
        <w:t>The sample project</w:t>
      </w:r>
      <w:r w:rsidR="002C48EF">
        <w:t xml:space="preserve"> </w:t>
      </w:r>
      <w:r w:rsidR="007645C6">
        <w:t>is</w:t>
      </w:r>
      <w:r>
        <w:t xml:space="preserve"> simplified and use</w:t>
      </w:r>
      <w:r w:rsidR="007645C6">
        <w:t>s</w:t>
      </w:r>
      <w:r w:rsidR="004332EE">
        <w:t xml:space="preserve"> non-rigorous</w:t>
      </w:r>
      <w:r>
        <w:t xml:space="preserve"> assumptions for </w:t>
      </w:r>
      <w:r w:rsidR="000F7E94">
        <w:t>a closed-loop geothermal project in the</w:t>
      </w:r>
      <w:r>
        <w:t xml:space="preserve"> region</w:t>
      </w:r>
      <w:r w:rsidR="000F702F">
        <w:t>, based on available data</w:t>
      </w:r>
      <w:r>
        <w:t>. The purpose of the comparison is to test the assertion that incorporating ESG parameters into TEA can have a material impact on LCOE and overall competitiveness of geothermal projects. The outcomes are not intended to inform a market level LCOE target for geothermal energy</w:t>
      </w:r>
      <w:r w:rsidR="00EA040D">
        <w:t xml:space="preserve"> or reflect the LCOE of an actual geothermal project</w:t>
      </w:r>
      <w:r>
        <w:t>.</w:t>
      </w:r>
    </w:p>
    <w:p w14:paraId="6EA9C66E" w14:textId="1BCA8FD2" w:rsidR="004D3D20" w:rsidRDefault="00F73DF8" w:rsidP="003E1714">
      <w:r>
        <w:t>The</w:t>
      </w:r>
      <w:r w:rsidR="00BD5B23">
        <w:t xml:space="preserve"> sample project will </w:t>
      </w:r>
      <w:r w:rsidR="003948CA">
        <w:t>deliver</w:t>
      </w:r>
      <w:r w:rsidR="00BD5B23">
        <w:t xml:space="preserve"> </w:t>
      </w:r>
      <w:r w:rsidR="00A5372B">
        <w:t xml:space="preserve">approximately </w:t>
      </w:r>
      <w:r w:rsidR="007B0C87">
        <w:t>2</w:t>
      </w:r>
      <w:r w:rsidR="00BD5B23">
        <w:t xml:space="preserve">50MW </w:t>
      </w:r>
      <w:r w:rsidR="003948CA">
        <w:t>of power</w:t>
      </w:r>
      <w:r w:rsidR="001558D9">
        <w:t xml:space="preserve"> </w:t>
      </w:r>
      <w:r w:rsidR="00D65908">
        <w:t xml:space="preserve">developed over </w:t>
      </w:r>
      <w:r w:rsidR="00BF6C4E">
        <w:t>5 years</w:t>
      </w:r>
      <w:r w:rsidR="003948CA">
        <w:t xml:space="preserve"> </w:t>
      </w:r>
      <w:r w:rsidR="00C27706">
        <w:t>and will connect directly to California’s grid</w:t>
      </w:r>
      <w:r w:rsidR="00AE2626">
        <w:t xml:space="preserve"> (Western United States)</w:t>
      </w:r>
      <w:r w:rsidR="00CB42D7">
        <w:t>.</w:t>
      </w:r>
      <w:r w:rsidR="00AF7DC2">
        <w:t xml:space="preserve"> </w:t>
      </w:r>
      <w:r w:rsidR="006C4ED3">
        <w:t>Generic</w:t>
      </w:r>
      <w:r w:rsidR="00AF7DC2">
        <w:t xml:space="preserve"> </w:t>
      </w:r>
      <w:r w:rsidR="00F60110">
        <w:t xml:space="preserve">assumptions will be used to generate </w:t>
      </w:r>
      <w:r w:rsidR="003C5F7F">
        <w:t xml:space="preserve">both </w:t>
      </w:r>
      <w:r w:rsidR="00F60110">
        <w:t xml:space="preserve">the baseline </w:t>
      </w:r>
      <m:oMath>
        <m:r>
          <w:rPr>
            <w:rFonts w:ascii="Cambria Math" w:hAnsi="Cambria Math"/>
          </w:rPr>
          <m:t>LCOE</m:t>
        </m:r>
      </m:oMath>
      <w:r w:rsidR="00FB5693">
        <w:t xml:space="preserve"> and extended </w:t>
      </w:r>
      <m:oMath>
        <m:r>
          <w:rPr>
            <w:rFonts w:ascii="Cambria Math" w:hAnsi="Cambria Math"/>
          </w:rPr>
          <m:t xml:space="preserve">XLCOE </m:t>
        </m:r>
      </m:oMath>
      <w:r w:rsidR="00F60110">
        <w:t>value</w:t>
      </w:r>
      <w:r w:rsidR="004332EE">
        <w:t>s</w:t>
      </w:r>
      <w:r w:rsidR="00642D4D">
        <w:t xml:space="preserve">; a complete inventory </w:t>
      </w:r>
      <w:r w:rsidR="004332EE">
        <w:t xml:space="preserve">is not </w:t>
      </w:r>
      <w:r w:rsidR="006300FA">
        <w:t xml:space="preserve">detailed </w:t>
      </w:r>
      <w:r w:rsidR="004332EE">
        <w:t xml:space="preserve">explicitly </w:t>
      </w:r>
      <w:r w:rsidR="006300FA">
        <w:t xml:space="preserve">as </w:t>
      </w:r>
      <w:r w:rsidR="00642D4D">
        <w:t>these assumptions</w:t>
      </w:r>
      <w:r w:rsidR="006300FA">
        <w:t xml:space="preserve"> are held</w:t>
      </w:r>
      <w:r w:rsidR="00642D4D">
        <w:t xml:space="preserve"> constant across </w:t>
      </w:r>
      <w:r w:rsidR="004332EE">
        <w:t>all three</w:t>
      </w:r>
      <w:r w:rsidR="00642D4D">
        <w:t xml:space="preserve"> cases</w:t>
      </w:r>
      <w:r w:rsidR="00B365B1">
        <w:t>. O</w:t>
      </w:r>
      <w:r w:rsidR="00602210">
        <w:t>ur objective is to evaluate the relative difference</w:t>
      </w:r>
      <w:r w:rsidR="00B365B1">
        <w:t xml:space="preserve"> of LCOE</w:t>
      </w:r>
      <w:r w:rsidR="00602210">
        <w:t xml:space="preserve"> </w:t>
      </w:r>
      <w:r w:rsidR="00B365B1">
        <w:t xml:space="preserve">values </w:t>
      </w:r>
      <w:r w:rsidR="00602210">
        <w:t>related to</w:t>
      </w:r>
      <w:r w:rsidR="00B365B1">
        <w:t xml:space="preserve"> the introduction of</w:t>
      </w:r>
      <w:r w:rsidR="00602210">
        <w:t xml:space="preserve"> ESG parameters.</w:t>
      </w:r>
      <w:r w:rsidR="000748DB">
        <w:t xml:space="preserve"> </w:t>
      </w:r>
      <w:r w:rsidR="004D3D20">
        <w:t>The</w:t>
      </w:r>
      <w:r w:rsidR="00CB3756">
        <w:t xml:space="preserve"> ESG parameter</w:t>
      </w:r>
      <w:r w:rsidR="004D3D20">
        <w:t xml:space="preserve"> assumptions </w:t>
      </w:r>
      <w:r w:rsidR="006921D3">
        <w:t>described</w:t>
      </w:r>
      <w:r w:rsidR="004D3D20">
        <w:t xml:space="preserve"> below are illustrative rather than </w:t>
      </w:r>
      <w:r w:rsidR="00517FC2">
        <w:t>rigorous</w:t>
      </w:r>
      <w:r w:rsidR="004D3D20">
        <w:t>,</w:t>
      </w:r>
      <w:r w:rsidR="00517FC2">
        <w:t xml:space="preserve"> as public data is limited. </w:t>
      </w:r>
    </w:p>
    <w:p w14:paraId="1E793407" w14:textId="0146E54D" w:rsidR="00CB3756" w:rsidRPr="00CB3756" w:rsidRDefault="00CB3756" w:rsidP="00CB3756">
      <w:pPr>
        <w:pStyle w:val="TableCaption"/>
      </w:pPr>
      <w:r>
        <w:t>ESG Parameter</w:t>
      </w:r>
      <w:r w:rsidR="005A5AF0">
        <w:t xml:space="preserve"> Assumptions</w:t>
      </w:r>
    </w:p>
    <w:tbl>
      <w:tblPr>
        <w:tblStyle w:val="TableGrid"/>
        <w:tblW w:w="0" w:type="auto"/>
        <w:tblLook w:val="04A0" w:firstRow="1" w:lastRow="0" w:firstColumn="1" w:lastColumn="0" w:noHBand="0" w:noVBand="1"/>
      </w:tblPr>
      <w:tblGrid>
        <w:gridCol w:w="1555"/>
        <w:gridCol w:w="1701"/>
        <w:gridCol w:w="1701"/>
        <w:gridCol w:w="4552"/>
      </w:tblGrid>
      <w:tr w:rsidR="00573A52" w14:paraId="281EF967" w14:textId="77777777" w:rsidTr="009D295C">
        <w:tc>
          <w:tcPr>
            <w:tcW w:w="1555" w:type="dxa"/>
          </w:tcPr>
          <w:p w14:paraId="086CA3E0" w14:textId="3756427C" w:rsidR="005F44C4" w:rsidRDefault="005F44C4" w:rsidP="00797B74">
            <w:r>
              <w:lastRenderedPageBreak/>
              <w:t>ESG Parameter</w:t>
            </w:r>
          </w:p>
        </w:tc>
        <w:tc>
          <w:tcPr>
            <w:tcW w:w="1701" w:type="dxa"/>
          </w:tcPr>
          <w:p w14:paraId="2CB19E01" w14:textId="4EE37F87" w:rsidR="005F44C4" w:rsidRDefault="005F44C4" w:rsidP="00797B74">
            <w:r>
              <w:t>Low Value</w:t>
            </w:r>
          </w:p>
        </w:tc>
        <w:tc>
          <w:tcPr>
            <w:tcW w:w="1701" w:type="dxa"/>
          </w:tcPr>
          <w:p w14:paraId="4AD77509" w14:textId="52D58ECF" w:rsidR="005F44C4" w:rsidRDefault="005F44C4" w:rsidP="00797B74">
            <w:r>
              <w:t>High Value</w:t>
            </w:r>
          </w:p>
        </w:tc>
        <w:tc>
          <w:tcPr>
            <w:tcW w:w="4552" w:type="dxa"/>
          </w:tcPr>
          <w:p w14:paraId="46B1A54B" w14:textId="7A37F414" w:rsidR="005F44C4" w:rsidRDefault="005F44C4" w:rsidP="00797B74">
            <w:r>
              <w:t>S</w:t>
            </w:r>
            <w:r w:rsidR="0002020C">
              <w:t>ample S</w:t>
            </w:r>
            <w:r>
              <w:t>ource</w:t>
            </w:r>
          </w:p>
        </w:tc>
      </w:tr>
      <w:tr w:rsidR="00573A52" w14:paraId="1780BB2A" w14:textId="77777777" w:rsidTr="009D295C">
        <w:tc>
          <w:tcPr>
            <w:tcW w:w="1555" w:type="dxa"/>
          </w:tcPr>
          <w:p w14:paraId="105E68CE" w14:textId="6AC20B51" w:rsidR="005F44C4" w:rsidRPr="004A2804" w:rsidRDefault="004109EA" w:rsidP="00797B74">
            <w:pPr>
              <w:rPr>
                <w:i/>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carbon</m:t>
                    </m:r>
                  </m:sub>
                </m:sSub>
              </m:oMath>
            </m:oMathPara>
          </w:p>
        </w:tc>
        <w:tc>
          <w:tcPr>
            <w:tcW w:w="1701" w:type="dxa"/>
          </w:tcPr>
          <w:p w14:paraId="7F1225E9" w14:textId="6EB082E2" w:rsidR="005F44C4" w:rsidRDefault="0055766B" w:rsidP="00797B74">
            <w:r>
              <w:t>$35</w:t>
            </w:r>
            <w:r w:rsidR="00AA67A6">
              <w:t xml:space="preserve"> </w:t>
            </w:r>
            <m:oMath>
              <m:r>
                <m:rPr>
                  <m:sty m:val="p"/>
                </m:rPr>
                <w:rPr>
                  <w:rFonts w:ascii="Cambria Math" w:hAnsi="Cambria Math"/>
                </w:rPr>
                <m:t>USD/tC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oMath>
          </w:p>
        </w:tc>
        <w:tc>
          <w:tcPr>
            <w:tcW w:w="1701" w:type="dxa"/>
          </w:tcPr>
          <w:p w14:paraId="10E769C0" w14:textId="5CD4E70B" w:rsidR="005F44C4" w:rsidRDefault="0055766B" w:rsidP="00797B74">
            <w:r>
              <w:t>$35</w:t>
            </w:r>
            <w:r w:rsidR="00C701C4">
              <w:t xml:space="preserve"> </w:t>
            </w:r>
            <m:oMath>
              <m:r>
                <m:rPr>
                  <m:sty m:val="p"/>
                </m:rPr>
                <w:rPr>
                  <w:rFonts w:ascii="Cambria Math" w:hAnsi="Cambria Math"/>
                </w:rPr>
                <m:t>USD/tC</m:t>
              </m:r>
              <m:sSub>
                <m:sSubPr>
                  <m:ctrlPr>
                    <w:rPr>
                      <w:rFonts w:ascii="Cambria Math" w:hAnsi="Cambria Math"/>
                      <w:iCs/>
                    </w:rPr>
                  </m:ctrlPr>
                </m:sSubPr>
                <m:e>
                  <m:r>
                    <m:rPr>
                      <m:sty m:val="p"/>
                    </m:rPr>
                    <w:rPr>
                      <w:rFonts w:ascii="Cambria Math" w:hAnsi="Cambria Math"/>
                    </w:rPr>
                    <m:t>O</m:t>
                  </m:r>
                </m:e>
                <m:sub>
                  <m:r>
                    <m:rPr>
                      <m:sty m:val="p"/>
                    </m:rPr>
                    <w:rPr>
                      <w:rFonts w:ascii="Cambria Math" w:hAnsi="Cambria Math"/>
                    </w:rPr>
                    <m:t>2</m:t>
                  </m:r>
                </m:sub>
              </m:sSub>
            </m:oMath>
          </w:p>
        </w:tc>
        <w:tc>
          <w:tcPr>
            <w:tcW w:w="4552" w:type="dxa"/>
          </w:tcPr>
          <w:p w14:paraId="18D0A619" w14:textId="44FC3146" w:rsidR="005F44C4" w:rsidRDefault="00B042DF" w:rsidP="00797B74">
            <w:r>
              <w:t>2024 Cap-and-Trade Program</w:t>
            </w:r>
            <w:r w:rsidR="0055766B">
              <w:t xml:space="preserve"> auction </w:t>
            </w:r>
            <w:r w:rsidR="00BF473C">
              <w:t>(ICAP, 2024)</w:t>
            </w:r>
          </w:p>
        </w:tc>
      </w:tr>
      <w:tr w:rsidR="00821D65" w14:paraId="2F64EB7A" w14:textId="77777777" w:rsidTr="009D295C">
        <w:tc>
          <w:tcPr>
            <w:tcW w:w="1555" w:type="dxa"/>
          </w:tcPr>
          <w:p w14:paraId="6767C79F" w14:textId="19FB16EF" w:rsidR="00821D65" w:rsidRPr="00821D65" w:rsidRDefault="004109EA" w:rsidP="00797B74">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avoided</m:t>
                    </m:r>
                  </m:sub>
                </m:sSub>
              </m:oMath>
            </m:oMathPara>
          </w:p>
        </w:tc>
        <w:tc>
          <w:tcPr>
            <w:tcW w:w="1701" w:type="dxa"/>
          </w:tcPr>
          <w:p w14:paraId="1361FA67" w14:textId="659914CE" w:rsidR="00821D65" w:rsidRDefault="00821D65" w:rsidP="00797B74">
            <w:r>
              <w:t>0.44</w:t>
            </w:r>
            <w:r w:rsidR="009D295C">
              <w:t xml:space="preserve"> </w:t>
            </w:r>
            <m:oMath>
              <m:r>
                <m:rPr>
                  <m:sty m:val="p"/>
                </m:rPr>
                <w:rPr>
                  <w:rFonts w:ascii="Cambria Math" w:hAnsi="Cambria Math"/>
                </w:rPr>
                <m:t>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/MWh</m:t>
              </m:r>
            </m:oMath>
          </w:p>
        </w:tc>
        <w:tc>
          <w:tcPr>
            <w:tcW w:w="1701" w:type="dxa"/>
          </w:tcPr>
          <w:p w14:paraId="30CFFA84" w14:textId="02A4D2A5" w:rsidR="00821D65" w:rsidRDefault="00821D65" w:rsidP="00797B74">
            <w:r>
              <w:t>0.44</w:t>
            </w:r>
            <w:r w:rsidR="009D295C">
              <w:t xml:space="preserve"> </w:t>
            </w:r>
            <m:oMath>
              <m:r>
                <m:rPr>
                  <m:sty m:val="p"/>
                </m:rPr>
                <w:rPr>
                  <w:rFonts w:ascii="Cambria Math" w:hAnsi="Cambria Math"/>
                </w:rPr>
                <m:t>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/MWh</m:t>
              </m:r>
            </m:oMath>
          </w:p>
        </w:tc>
        <w:tc>
          <w:tcPr>
            <w:tcW w:w="4552" w:type="dxa"/>
          </w:tcPr>
          <w:p w14:paraId="35CA5D2A" w14:textId="385FEE22" w:rsidR="00821D65" w:rsidRDefault="00932473" w:rsidP="00797B74">
            <w:r>
              <w:t>2023 US EIA FAQs</w:t>
            </w:r>
            <w:r w:rsidR="00B84554">
              <w:t>; average CO2 emissions for Natural Gas</w:t>
            </w:r>
          </w:p>
        </w:tc>
      </w:tr>
      <w:tr w:rsidR="00573A52" w14:paraId="438D136F" w14:textId="77777777" w:rsidTr="009D295C">
        <w:tc>
          <w:tcPr>
            <w:tcW w:w="1555" w:type="dxa"/>
          </w:tcPr>
          <w:p w14:paraId="5067F2BC" w14:textId="5863C513" w:rsidR="005F44C4" w:rsidRPr="00D61650" w:rsidRDefault="004109EA" w:rsidP="00797B74">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REC</m:t>
                    </m:r>
                  </m:sub>
                </m:sSub>
              </m:oMath>
            </m:oMathPara>
          </w:p>
        </w:tc>
        <w:tc>
          <w:tcPr>
            <w:tcW w:w="1701" w:type="dxa"/>
          </w:tcPr>
          <w:p w14:paraId="58033876" w14:textId="52B8F8D9" w:rsidR="005F44C4" w:rsidRDefault="005F44C4" w:rsidP="00797B74">
            <w:r>
              <w:t>$</w:t>
            </w:r>
            <w:r w:rsidR="00053152">
              <w:t>7</w:t>
            </w:r>
            <w:r w:rsidR="00AA67A6">
              <w:t xml:space="preserve"> </w:t>
            </w:r>
            <m:oMath>
              <m:r>
                <m:rPr>
                  <m:sty m:val="p"/>
                </m:rPr>
                <w:rPr>
                  <w:rFonts w:ascii="Cambria Math" w:hAnsi="Cambria Math"/>
                </w:rPr>
                <m:t>USD/MWh</m:t>
              </m:r>
            </m:oMath>
          </w:p>
        </w:tc>
        <w:tc>
          <w:tcPr>
            <w:tcW w:w="1701" w:type="dxa"/>
          </w:tcPr>
          <w:p w14:paraId="3ED7EEB6" w14:textId="258B11E9" w:rsidR="005F44C4" w:rsidRDefault="005F44C4" w:rsidP="00797B74">
            <w:r>
              <w:t>$</w:t>
            </w:r>
            <w:r w:rsidR="00053152">
              <w:t>38</w:t>
            </w:r>
            <w:r w:rsidR="00AA67A6">
              <w:t xml:space="preserve"> </w:t>
            </w:r>
            <m:oMath>
              <m:r>
                <m:rPr>
                  <m:sty m:val="p"/>
                </m:rPr>
                <w:rPr>
                  <w:rFonts w:ascii="Cambria Math" w:hAnsi="Cambria Math"/>
                </w:rPr>
                <m:t>USD/MWh</m:t>
              </m:r>
            </m:oMath>
          </w:p>
        </w:tc>
        <w:tc>
          <w:tcPr>
            <w:tcW w:w="4552" w:type="dxa"/>
          </w:tcPr>
          <w:p w14:paraId="7CEDA2D7" w14:textId="5C26CFDB" w:rsidR="005F44C4" w:rsidRDefault="005F44C4" w:rsidP="00797B74">
            <w:r>
              <w:t>202</w:t>
            </w:r>
            <w:r w:rsidR="00780E74">
              <w:t>3</w:t>
            </w:r>
            <w:r>
              <w:t xml:space="preserve"> </w:t>
            </w:r>
            <w:r w:rsidR="00C44056">
              <w:t xml:space="preserve">VALLEY CLEAN ENERGY </w:t>
            </w:r>
            <w:r>
              <w:t>PCC</w:t>
            </w:r>
            <w:r w:rsidR="001301AC">
              <w:t xml:space="preserve"> (Levels 1-</w:t>
            </w:r>
            <w:r w:rsidR="00780E74">
              <w:t>2</w:t>
            </w:r>
            <w:r w:rsidR="001301AC">
              <w:t>)</w:t>
            </w:r>
            <w:r>
              <w:t xml:space="preserve"> </w:t>
            </w:r>
          </w:p>
        </w:tc>
      </w:tr>
      <w:tr w:rsidR="00F94EC8" w14:paraId="0224EF52" w14:textId="77777777" w:rsidTr="009D295C">
        <w:tc>
          <w:tcPr>
            <w:tcW w:w="1555" w:type="dxa"/>
          </w:tcPr>
          <w:p w14:paraId="667CFF73" w14:textId="5DFDBB5C" w:rsidR="00837C5C" w:rsidRPr="00837C5C" w:rsidRDefault="004109EA" w:rsidP="00797B74">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water</m:t>
                    </m:r>
                  </m:sub>
                </m:sSub>
              </m:oMath>
            </m:oMathPara>
          </w:p>
        </w:tc>
        <w:tc>
          <w:tcPr>
            <w:tcW w:w="1701" w:type="dxa"/>
          </w:tcPr>
          <w:p w14:paraId="4B483A87" w14:textId="40E07214" w:rsidR="00837C5C" w:rsidRPr="009D295C" w:rsidRDefault="00C25BEB" w:rsidP="00797B74">
            <w:pPr>
              <w:rPr>
                <w:iCs/>
              </w:rPr>
            </w:pPr>
            <w:r>
              <w:t>$0.25</w:t>
            </w:r>
            <w:r w:rsidR="006A7D40">
              <w:t xml:space="preserve"> </w:t>
            </w:r>
            <m:oMath>
              <m:r>
                <m:rPr>
                  <m:sty m:val="p"/>
                </m:rPr>
                <w:rPr>
                  <w:rFonts w:ascii="Cambria Math" w:hAnsi="Cambria Math"/>
                </w:rPr>
                <m:t>USD</m:t>
              </m:r>
              <m:r>
                <m:rPr>
                  <m:lit/>
                  <m:sty m:val="p"/>
                </m:rPr>
                <w:rPr>
                  <w:rFonts w:ascii="Cambria Math" w:hAnsi="Cambria Math"/>
                </w:rPr>
                <m:t>/</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oMath>
          </w:p>
          <w:p w14:paraId="6460C79A" w14:textId="47699EDC" w:rsidR="009D295C" w:rsidRPr="009D295C" w:rsidRDefault="009D295C" w:rsidP="00797B74"/>
        </w:tc>
        <w:tc>
          <w:tcPr>
            <w:tcW w:w="1701" w:type="dxa"/>
          </w:tcPr>
          <w:p w14:paraId="6FD63D34" w14:textId="7CC4D346" w:rsidR="00837C5C" w:rsidRDefault="006A7D40" w:rsidP="00797B74">
            <w:r>
              <w:t>$0.</w:t>
            </w:r>
            <w:r w:rsidR="0057616F">
              <w:t>50</w:t>
            </w:r>
            <w:r>
              <w:t xml:space="preserve"> </w:t>
            </w:r>
            <m:oMath>
              <m:r>
                <m:rPr>
                  <m:sty m:val="p"/>
                </m:rPr>
                <w:rPr>
                  <w:rFonts w:ascii="Cambria Math" w:hAnsi="Cambria Math"/>
                </w:rPr>
                <m:t>USD</m:t>
              </m:r>
              <m:r>
                <m:rPr>
                  <m:lit/>
                  <m:sty m:val="p"/>
                </m:rPr>
                <w:rPr>
                  <w:rFonts w:ascii="Cambria Math" w:hAnsi="Cambria Math"/>
                </w:rPr>
                <m:t>/</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oMath>
          </w:p>
        </w:tc>
        <w:tc>
          <w:tcPr>
            <w:tcW w:w="4552" w:type="dxa"/>
          </w:tcPr>
          <w:p w14:paraId="08F6E111" w14:textId="5F7B6F77" w:rsidR="00837C5C" w:rsidRDefault="005C1459" w:rsidP="00797B74">
            <w:r>
              <w:t xml:space="preserve">2023 </w:t>
            </w:r>
            <w:r w:rsidR="008C5832">
              <w:t xml:space="preserve">Delta </w:t>
            </w:r>
            <w:r w:rsidR="003F27BA">
              <w:t>Conveyance</w:t>
            </w:r>
            <w:r w:rsidR="008C5832">
              <w:t xml:space="preserve"> Cost-Benefit Analysis</w:t>
            </w:r>
            <w:r w:rsidR="003F27BA">
              <w:t xml:space="preserve"> estimate</w:t>
            </w:r>
            <w:r>
              <w:t xml:space="preserve"> (Sundi</w:t>
            </w:r>
            <w:r w:rsidR="00743D19">
              <w:t>n</w:t>
            </w:r>
            <w:r>
              <w:t>g and Browne</w:t>
            </w:r>
            <w:r w:rsidR="00743D19">
              <w:t>, 2024</w:t>
            </w:r>
            <w:r>
              <w:t>)</w:t>
            </w:r>
            <w:r w:rsidR="000C2998">
              <w:t xml:space="preserve">; </w:t>
            </w:r>
            <w:r w:rsidR="00A546BA">
              <w:t xml:space="preserve">shadow prices are </w:t>
            </w:r>
            <w:r w:rsidR="00FC299B">
              <w:t>volatile</w:t>
            </w:r>
            <w:r w:rsidR="0085205B">
              <w:t xml:space="preserve"> and based on conditions, upper bound </w:t>
            </w:r>
            <w:r w:rsidR="0057616F">
              <w:t>speculative increase due to</w:t>
            </w:r>
            <w:r w:rsidR="0085205B">
              <w:t xml:space="preserve"> drought</w:t>
            </w:r>
          </w:p>
        </w:tc>
      </w:tr>
      <w:tr w:rsidR="00F94EC8" w14:paraId="764094C9" w14:textId="77777777" w:rsidTr="009D295C">
        <w:tc>
          <w:tcPr>
            <w:tcW w:w="1555" w:type="dxa"/>
          </w:tcPr>
          <w:p w14:paraId="0B21D8EB" w14:textId="50AB93C2" w:rsidR="002678DF" w:rsidRPr="002678DF" w:rsidRDefault="004109EA" w:rsidP="00797B74">
            <m:oMath>
              <m:sSub>
                <m:sSubPr>
                  <m:ctrlPr>
                    <w:rPr>
                      <w:rFonts w:ascii="Cambria Math" w:hAnsi="Cambria Math"/>
                      <w:i/>
                    </w:rPr>
                  </m:ctrlPr>
                </m:sSubPr>
                <m:e>
                  <m:r>
                    <w:rPr>
                      <w:rFonts w:ascii="Cambria Math" w:hAnsi="Cambria Math"/>
                    </w:rPr>
                    <m:t>V</m:t>
                  </m:r>
                </m:e>
                <m:sub>
                  <m:r>
                    <w:rPr>
                      <w:rFonts w:ascii="Cambria Math" w:hAnsi="Cambria Math"/>
                    </w:rPr>
                    <m:t>water</m:t>
                  </m:r>
                </m:sub>
              </m:sSub>
            </m:oMath>
            <w:r w:rsidR="0078185C">
              <w:t xml:space="preserve"> </w:t>
            </w:r>
            <w:r w:rsidR="00C26BAF">
              <w:t>displaced</w:t>
            </w:r>
          </w:p>
        </w:tc>
        <w:tc>
          <w:tcPr>
            <w:tcW w:w="1701" w:type="dxa"/>
          </w:tcPr>
          <w:p w14:paraId="2C8B6FBC" w14:textId="75A9D9B4" w:rsidR="002678DF" w:rsidRDefault="008022CA" w:rsidP="00797B74">
            <w:r>
              <w:t>1</w:t>
            </w:r>
            <w:r w:rsidR="00D3114C">
              <w:t>.0</w:t>
            </w:r>
            <w:r w:rsidR="00BD0616">
              <w:t xml:space="preserv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/MWh</m:t>
              </m:r>
            </m:oMath>
          </w:p>
        </w:tc>
        <w:tc>
          <w:tcPr>
            <w:tcW w:w="1701" w:type="dxa"/>
          </w:tcPr>
          <w:p w14:paraId="7C4A5A42" w14:textId="7BC950AD" w:rsidR="002678DF" w:rsidRDefault="008022CA" w:rsidP="00797B74">
            <w:r>
              <w:t xml:space="preserve">7.5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/MWh</m:t>
              </m:r>
            </m:oMath>
          </w:p>
        </w:tc>
        <w:tc>
          <w:tcPr>
            <w:tcW w:w="4552" w:type="dxa"/>
          </w:tcPr>
          <w:p w14:paraId="4B758372" w14:textId="785E56FC" w:rsidR="002678DF" w:rsidRDefault="00B078BA" w:rsidP="00797B74">
            <w:r>
              <w:t xml:space="preserve">2023 </w:t>
            </w:r>
            <w:r w:rsidR="00E90CB1">
              <w:t>Today in Energy</w:t>
            </w:r>
            <w:r w:rsidR="00E90CB1" w:rsidDel="00E90CB1">
              <w:t xml:space="preserve"> </w:t>
            </w:r>
            <w:r w:rsidR="009C157E">
              <w:t xml:space="preserve">Report </w:t>
            </w:r>
            <w:r>
              <w:t>for Natural Gas</w:t>
            </w:r>
            <w:r w:rsidR="00E90CB1">
              <w:t xml:space="preserve"> (EIA</w:t>
            </w:r>
            <w:r w:rsidR="009C157E">
              <w:t>, 2023)</w:t>
            </w:r>
            <w:r>
              <w:t xml:space="preserve"> plants assuming </w:t>
            </w:r>
            <w:r w:rsidR="00D82AAD">
              <w:t xml:space="preserve">25%-90% return on </w:t>
            </w:r>
            <w:r w:rsidR="00E24376">
              <w:t xml:space="preserve">average </w:t>
            </w:r>
            <w:r w:rsidR="00A71AE3">
              <w:t xml:space="preserve">withdrawal of </w:t>
            </w:r>
            <w:r w:rsidR="00E24376">
              <w:t xml:space="preserve">10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/MWh</m:t>
              </m:r>
            </m:oMath>
            <w:r w:rsidR="009D295C">
              <w:t xml:space="preserve"> </w:t>
            </w:r>
            <w:r w:rsidR="005264F9">
              <w:t>(nationwide estimate)</w:t>
            </w:r>
          </w:p>
        </w:tc>
      </w:tr>
      <w:tr w:rsidR="00573A52" w14:paraId="1D32DA84" w14:textId="77777777" w:rsidTr="009D295C">
        <w:tc>
          <w:tcPr>
            <w:tcW w:w="1555" w:type="dxa"/>
          </w:tcPr>
          <w:p w14:paraId="2A9CB017" w14:textId="7A91D798" w:rsidR="00455086" w:rsidRPr="006B38BF" w:rsidRDefault="006B38BF" w:rsidP="00797B74">
            <m:oMath>
              <m:r>
                <w:rPr>
                  <w:rFonts w:ascii="Cambria Math" w:hAnsi="Cambria Math"/>
                  <w:lang w:eastAsia="en-GB"/>
                </w:rPr>
                <m:t>α</m:t>
              </m:r>
            </m:oMath>
            <w:r w:rsidR="00AA67A6">
              <w:rPr>
                <w:iCs/>
                <w:lang w:eastAsia="en-GB"/>
              </w:rPr>
              <w:t xml:space="preserve"> idle discount</w:t>
            </w:r>
          </w:p>
        </w:tc>
        <w:tc>
          <w:tcPr>
            <w:tcW w:w="1701" w:type="dxa"/>
          </w:tcPr>
          <w:p w14:paraId="581C1F59" w14:textId="6AA2DDF1" w:rsidR="00455086" w:rsidRDefault="00280683" w:rsidP="00797B74">
            <w:r>
              <w:t>5</w:t>
            </w:r>
            <w:r w:rsidR="00B64FC7">
              <w:t>%</w:t>
            </w:r>
          </w:p>
        </w:tc>
        <w:tc>
          <w:tcPr>
            <w:tcW w:w="1701" w:type="dxa"/>
          </w:tcPr>
          <w:p w14:paraId="49EB6DA0" w14:textId="5CF730A6" w:rsidR="00455086" w:rsidRDefault="00280683" w:rsidP="00797B74">
            <w:r>
              <w:t>1</w:t>
            </w:r>
            <w:r w:rsidR="008644BB">
              <w:t>0</w:t>
            </w:r>
            <w:r w:rsidR="00B64FC7">
              <w:t>%</w:t>
            </w:r>
          </w:p>
        </w:tc>
        <w:tc>
          <w:tcPr>
            <w:tcW w:w="4552" w:type="dxa"/>
          </w:tcPr>
          <w:p w14:paraId="67D97A39" w14:textId="2239D17A" w:rsidR="00455086" w:rsidRDefault="00B64FC7" w:rsidP="00797B74">
            <w:r>
              <w:t>Speculative</w:t>
            </w:r>
          </w:p>
        </w:tc>
      </w:tr>
      <w:tr w:rsidR="00573A52" w14:paraId="6CF40712" w14:textId="77777777" w:rsidTr="009D295C">
        <w:tc>
          <w:tcPr>
            <w:tcW w:w="1555" w:type="dxa"/>
          </w:tcPr>
          <w:p w14:paraId="024337B6" w14:textId="3CADB902" w:rsidR="0018522B" w:rsidRPr="0018522B" w:rsidRDefault="0018522B" w:rsidP="00797B74">
            <w:pPr>
              <w:rPr>
                <w:i/>
              </w:rPr>
            </w:pPr>
            <m:oMath>
              <m:r>
                <w:rPr>
                  <w:rFonts w:ascii="Cambria Math" w:hAnsi="Cambria Math"/>
                </w:rPr>
                <m:t>W</m:t>
              </m:r>
            </m:oMath>
            <w:r w:rsidRPr="0018522B">
              <w:rPr>
                <w:i/>
              </w:rPr>
              <w:t xml:space="preserve"> </w:t>
            </w:r>
          </w:p>
        </w:tc>
        <w:tc>
          <w:tcPr>
            <w:tcW w:w="1701" w:type="dxa"/>
          </w:tcPr>
          <w:p w14:paraId="67BCE60F" w14:textId="63BC5BFF" w:rsidR="0018522B" w:rsidRDefault="00AC4F84" w:rsidP="00797B74">
            <w:r>
              <w:t>$4</w:t>
            </w:r>
            <w:r w:rsidR="00573A52">
              <w:t>0</w:t>
            </w:r>
            <w:r>
              <w:t>00</w:t>
            </w:r>
            <w:r w:rsidR="00573A52">
              <w:t xml:space="preserve"> </w:t>
            </w:r>
            <w:r w:rsidR="00C50743">
              <w:t>/</w:t>
            </w:r>
            <w:r w:rsidR="0018522B">
              <w:t>worke</w:t>
            </w:r>
            <w:r w:rsidR="00573A52">
              <w:t>r</w:t>
            </w:r>
            <w:r w:rsidR="0018522B">
              <w:t>/month</w:t>
            </w:r>
          </w:p>
        </w:tc>
        <w:tc>
          <w:tcPr>
            <w:tcW w:w="1701" w:type="dxa"/>
          </w:tcPr>
          <w:p w14:paraId="54D2ACFA" w14:textId="41BC649B" w:rsidR="0018522B" w:rsidRDefault="00573A52" w:rsidP="00797B74">
            <w:r>
              <w:t>$</w:t>
            </w:r>
            <w:r w:rsidR="00C50743">
              <w:t>7</w:t>
            </w:r>
            <w:r>
              <w:t>000</w:t>
            </w:r>
            <w:r w:rsidR="00F94EC8">
              <w:t xml:space="preserve"> </w:t>
            </w:r>
            <w:r w:rsidR="00C50743">
              <w:t>/</w:t>
            </w:r>
            <w:r w:rsidR="0018522B">
              <w:t>worker/month</w:t>
            </w:r>
          </w:p>
        </w:tc>
        <w:tc>
          <w:tcPr>
            <w:tcW w:w="4552" w:type="dxa"/>
          </w:tcPr>
          <w:p w14:paraId="3142DBB9" w14:textId="219C0430" w:rsidR="0018522B" w:rsidRPr="001F2C12" w:rsidRDefault="002F2887" w:rsidP="00797B74">
            <w:pPr>
              <w:rPr>
                <w:lang w:val="en-CA"/>
              </w:rPr>
            </w:pPr>
            <w:r>
              <w:rPr>
                <w:lang w:val="en-CA"/>
              </w:rPr>
              <w:t>Glassdoor, Salary.com</w:t>
            </w:r>
            <w:r w:rsidR="00B23769">
              <w:rPr>
                <w:lang w:val="en-CA"/>
              </w:rPr>
              <w:t xml:space="preserve"> general</w:t>
            </w:r>
            <w:r w:rsidR="00AC4F84">
              <w:rPr>
                <w:lang w:val="en-CA"/>
              </w:rPr>
              <w:t xml:space="preserve"> aggregations for Rig and Plant workers</w:t>
            </w:r>
            <w:r w:rsidR="00C50743">
              <w:rPr>
                <w:lang w:val="en-CA"/>
              </w:rPr>
              <w:t xml:space="preserve"> in California, present day</w:t>
            </w:r>
          </w:p>
        </w:tc>
      </w:tr>
      <w:tr w:rsidR="00573A52" w14:paraId="799617D8" w14:textId="77777777" w:rsidTr="009D295C">
        <w:tc>
          <w:tcPr>
            <w:tcW w:w="1555" w:type="dxa"/>
          </w:tcPr>
          <w:p w14:paraId="47271104" w14:textId="6D51A777" w:rsidR="0018522B" w:rsidRPr="00F46304" w:rsidRDefault="004109EA" w:rsidP="00797B74">
            <m:oMath>
              <m:sSub>
                <m:sSubPr>
                  <m:ctrlPr>
                    <w:rPr>
                      <w:rFonts w:ascii="Cambria Math" w:hAnsi="Cambria Math"/>
                      <w:i/>
                    </w:rPr>
                  </m:ctrlPr>
                </m:sSubPr>
                <m:e>
                  <m:r>
                    <w:rPr>
                      <w:rFonts w:ascii="Cambria Math" w:hAnsi="Cambria Math"/>
                    </w:rPr>
                    <m:t>N</m:t>
                  </m:r>
                </m:e>
                <m:sub>
                  <m:r>
                    <w:rPr>
                      <w:rFonts w:ascii="Cambria Math" w:hAnsi="Cambria Math"/>
                    </w:rPr>
                    <m:t>jobs</m:t>
                  </m:r>
                </m:sub>
              </m:sSub>
            </m:oMath>
            <w:r w:rsidR="0018522B">
              <w:t xml:space="preserve"> construction</w:t>
            </w:r>
          </w:p>
        </w:tc>
        <w:tc>
          <w:tcPr>
            <w:tcW w:w="1701" w:type="dxa"/>
          </w:tcPr>
          <w:p w14:paraId="40C48F95" w14:textId="3B4562E3" w:rsidR="0018522B" w:rsidRDefault="0018522B" w:rsidP="00797B74">
            <w:r>
              <w:t>37/rig</w:t>
            </w:r>
          </w:p>
        </w:tc>
        <w:tc>
          <w:tcPr>
            <w:tcW w:w="1701" w:type="dxa"/>
          </w:tcPr>
          <w:p w14:paraId="4FC52BC2" w14:textId="513D5621" w:rsidR="0018522B" w:rsidRDefault="0018522B" w:rsidP="00797B74">
            <w:r>
              <w:t>37/rig</w:t>
            </w:r>
          </w:p>
        </w:tc>
        <w:tc>
          <w:tcPr>
            <w:tcW w:w="4552" w:type="dxa"/>
          </w:tcPr>
          <w:p w14:paraId="5A2C8924" w14:textId="2E4AAF8A" w:rsidR="0018522B" w:rsidRDefault="006F647B" w:rsidP="00797B74">
            <w:r>
              <w:t>201</w:t>
            </w:r>
            <w:r w:rsidR="002168B7">
              <w:t>7</w:t>
            </w:r>
            <w:r>
              <w:t xml:space="preserve"> </w:t>
            </w:r>
            <w:r w:rsidR="0018522B">
              <w:t xml:space="preserve">IMF </w:t>
            </w:r>
            <w:r w:rsidR="00DD40C2">
              <w:t xml:space="preserve">Paper: Employment Impacts of Upstream Oil &amp; Gas Investment… </w:t>
            </w:r>
            <w:r w:rsidR="0018522B">
              <w:t xml:space="preserve"> </w:t>
            </w:r>
            <w:r w:rsidR="0018522B" w:rsidRPr="001F2C12">
              <w:t>(</w:t>
            </w:r>
            <w:r w:rsidR="0018522B" w:rsidRPr="001F2C12">
              <w:rPr>
                <w:lang w:val="en-CA"/>
              </w:rPr>
              <w:t>Agerton, et al.</w:t>
            </w:r>
            <w:r w:rsidR="00191274">
              <w:rPr>
                <w:lang w:val="en-CA"/>
              </w:rPr>
              <w:t>,</w:t>
            </w:r>
            <w:r w:rsidR="0018522B" w:rsidRPr="001F2C12">
              <w:rPr>
                <w:lang w:val="en-CA"/>
              </w:rPr>
              <w:t xml:space="preserve"> 201</w:t>
            </w:r>
            <w:r w:rsidR="00755AC4">
              <w:rPr>
                <w:lang w:val="en-CA"/>
              </w:rPr>
              <w:t>7</w:t>
            </w:r>
            <w:r w:rsidR="0018522B" w:rsidRPr="001F2C12">
              <w:rPr>
                <w:lang w:val="en-CA"/>
              </w:rPr>
              <w:t>)</w:t>
            </w:r>
            <w:r w:rsidR="00833875">
              <w:rPr>
                <w:lang w:val="en-CA"/>
              </w:rPr>
              <w:t>; direct employment</w:t>
            </w:r>
          </w:p>
        </w:tc>
      </w:tr>
      <w:tr w:rsidR="00F94EC8" w14:paraId="2EFE48EF" w14:textId="77777777" w:rsidTr="009D295C">
        <w:tc>
          <w:tcPr>
            <w:tcW w:w="1555" w:type="dxa"/>
          </w:tcPr>
          <w:p w14:paraId="60D51D7B" w14:textId="23D62573" w:rsidR="0018522B" w:rsidRPr="00255FDF" w:rsidRDefault="004109EA" w:rsidP="00797B74">
            <m:oMath>
              <m:sSub>
                <m:sSubPr>
                  <m:ctrlPr>
                    <w:rPr>
                      <w:rFonts w:ascii="Cambria Math" w:hAnsi="Cambria Math"/>
                      <w:i/>
                    </w:rPr>
                  </m:ctrlPr>
                </m:sSubPr>
                <m:e>
                  <m:r>
                    <w:rPr>
                      <w:rFonts w:ascii="Cambria Math" w:hAnsi="Cambria Math"/>
                    </w:rPr>
                    <m:t>N</m:t>
                  </m:r>
                </m:e>
                <m:sub>
                  <m:r>
                    <w:rPr>
                      <w:rFonts w:ascii="Cambria Math" w:hAnsi="Cambria Math"/>
                    </w:rPr>
                    <m:t>jobs</m:t>
                  </m:r>
                </m:sub>
              </m:sSub>
            </m:oMath>
            <w:r w:rsidR="0018522B">
              <w:t xml:space="preserve"> operation</w:t>
            </w:r>
          </w:p>
        </w:tc>
        <w:tc>
          <w:tcPr>
            <w:tcW w:w="1701" w:type="dxa"/>
          </w:tcPr>
          <w:p w14:paraId="6AD8DF75" w14:textId="73B21310" w:rsidR="0018522B" w:rsidRDefault="0080414E" w:rsidP="00797B74">
            <w:r>
              <w:t>1.7</w:t>
            </w:r>
            <w:r w:rsidR="007C0610" w:rsidRPr="007C0610">
              <w:rPr>
                <w:rFonts w:ascii="Cambria Math" w:hAnsi="Cambria Math"/>
              </w:rPr>
              <w:t xml:space="preserve"> </w:t>
            </w:r>
            <m:oMath>
              <m:r>
                <w:rPr>
                  <w:rFonts w:ascii="Cambria Math" w:hAnsi="Cambria Math"/>
                </w:rPr>
                <m:t>/</m:t>
              </m:r>
              <m:r>
                <m:rPr>
                  <m:sty m:val="p"/>
                </m:rPr>
                <w:rPr>
                  <w:rFonts w:ascii="Cambria Math" w:hAnsi="Cambria Math"/>
                </w:rPr>
                <m:t>MW</m:t>
              </m:r>
            </m:oMath>
          </w:p>
        </w:tc>
        <w:tc>
          <w:tcPr>
            <w:tcW w:w="1701" w:type="dxa"/>
          </w:tcPr>
          <w:p w14:paraId="1D017B4D" w14:textId="2FA9070D" w:rsidR="0018522B" w:rsidRDefault="0080414E" w:rsidP="00797B74">
            <w:r>
              <w:t>1.7</w:t>
            </w:r>
            <m:oMath>
              <m:r>
                <w:rPr>
                  <w:rFonts w:ascii="Cambria Math" w:hAnsi="Cambria Math"/>
                </w:rPr>
                <m:t>/</m:t>
              </m:r>
              <m:r>
                <m:rPr>
                  <m:sty m:val="p"/>
                </m:rPr>
                <w:rPr>
                  <w:rFonts w:ascii="Cambria Math" w:hAnsi="Cambria Math"/>
                </w:rPr>
                <m:t>MW</m:t>
              </m:r>
            </m:oMath>
          </w:p>
        </w:tc>
        <w:tc>
          <w:tcPr>
            <w:tcW w:w="4552" w:type="dxa"/>
          </w:tcPr>
          <w:p w14:paraId="5CE3ECBF" w14:textId="7F645164" w:rsidR="0018522B" w:rsidRDefault="00DA3A20" w:rsidP="00797B74">
            <w:r>
              <w:t>2015</w:t>
            </w:r>
            <w:r w:rsidR="00F76F33">
              <w:t xml:space="preserve"> GEA </w:t>
            </w:r>
            <w:r>
              <w:t>Brief</w:t>
            </w:r>
            <w:r w:rsidR="000859E0">
              <w:t>: Additional Economic Values of Geothermal Power</w:t>
            </w:r>
            <w:r w:rsidR="00833875">
              <w:t>; direct employment</w:t>
            </w:r>
          </w:p>
        </w:tc>
      </w:tr>
      <w:tr w:rsidR="00A37315" w14:paraId="53B19D6E" w14:textId="77777777" w:rsidTr="009D295C">
        <w:tc>
          <w:tcPr>
            <w:tcW w:w="1555" w:type="dxa"/>
          </w:tcPr>
          <w:p w14:paraId="3EC7C7D3" w14:textId="7B876BC5" w:rsidR="00A37315" w:rsidRPr="00A37315" w:rsidRDefault="004109EA" w:rsidP="00797B74">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S</m:t>
                    </m:r>
                  </m:sub>
                </m:sSub>
              </m:oMath>
            </m:oMathPara>
          </w:p>
        </w:tc>
        <w:tc>
          <w:tcPr>
            <w:tcW w:w="1701" w:type="dxa"/>
          </w:tcPr>
          <w:p w14:paraId="1149B7CE" w14:textId="5CA5817B" w:rsidR="00A37315" w:rsidRDefault="00D57BB5" w:rsidP="00797B74">
            <w:r>
              <w:t>8</w:t>
            </w:r>
            <w:r w:rsidR="00A37315">
              <w:t>%</w:t>
            </w:r>
          </w:p>
        </w:tc>
        <w:tc>
          <w:tcPr>
            <w:tcW w:w="1701" w:type="dxa"/>
          </w:tcPr>
          <w:p w14:paraId="541D1E9F" w14:textId="4A851303" w:rsidR="00A37315" w:rsidRDefault="00D57BB5" w:rsidP="00797B74">
            <w:r>
              <w:t>4</w:t>
            </w:r>
            <w:r w:rsidR="00A37315">
              <w:t>%</w:t>
            </w:r>
          </w:p>
        </w:tc>
        <w:tc>
          <w:tcPr>
            <w:tcW w:w="4552" w:type="dxa"/>
          </w:tcPr>
          <w:p w14:paraId="7C2C89DB" w14:textId="023D077F" w:rsidR="00A37315" w:rsidRDefault="005D5DDE" w:rsidP="00797B74">
            <w:r>
              <w:t>2016 World Bank Discounting Costs and Ben</w:t>
            </w:r>
            <w:r w:rsidR="00B23769">
              <w:t>efits</w:t>
            </w:r>
            <w:r w:rsidR="00280683">
              <w:t xml:space="preserve"> average for High Value; market rate for Low Value</w:t>
            </w:r>
          </w:p>
        </w:tc>
      </w:tr>
    </w:tbl>
    <w:p w14:paraId="541A5AAE" w14:textId="77777777" w:rsidR="00F530E4" w:rsidRDefault="00F530E4" w:rsidP="009615F9"/>
    <w:p w14:paraId="75D5B597" w14:textId="6E836754" w:rsidR="00602210" w:rsidRDefault="00CD32A5" w:rsidP="009615F9">
      <w:r>
        <w:t xml:space="preserve">Water offset is calculated based on </w:t>
      </w:r>
      <w:r w:rsidR="0090625F">
        <w:t xml:space="preserve">a </w:t>
      </w:r>
      <w:r w:rsidR="006B3103">
        <w:t>closed-loop geothermal project design with a leak-off rate of 10%, which is conservative relative to measured data (0.1%; Toews et al., 2021), versus a typical conventional natural gas plant. A</w:t>
      </w:r>
      <w:r w:rsidR="002B7F79">
        <w:t xml:space="preserve"> geothermal plant could plausibly displace this plant.</w:t>
      </w:r>
    </w:p>
    <w:p w14:paraId="50105226" w14:textId="647A0F6C" w:rsidR="00D07529" w:rsidRDefault="0020297E" w:rsidP="009615F9">
      <w:r>
        <w:t>Currency values in the ESG Parameters</w:t>
      </w:r>
      <w:r w:rsidR="006B3103">
        <w:t>, such as REC prices and wages,</w:t>
      </w:r>
      <w:r w:rsidR="00D07529">
        <w:t xml:space="preserve"> are not escalated over the </w:t>
      </w:r>
      <w:r w:rsidR="006B3103">
        <w:t>project's lifetime</w:t>
      </w:r>
      <w:r w:rsidR="00427E34">
        <w:t xml:space="preserve">. This proof of concept </w:t>
      </w:r>
      <w:r w:rsidR="00B05515">
        <w:t>is simplified</w:t>
      </w:r>
      <w:r w:rsidR="00DE1853">
        <w:t>; a</w:t>
      </w:r>
      <w:r w:rsidR="00B117E6">
        <w:t xml:space="preserve">n improved </w:t>
      </w:r>
      <w:r w:rsidR="00DE1853">
        <w:t xml:space="preserve">model </w:t>
      </w:r>
      <w:r w:rsidR="00B117E6">
        <w:t>would</w:t>
      </w:r>
      <w:r w:rsidR="00DE1853">
        <w:t xml:space="preserve"> escalate these amounts to avoid undervaluing </w:t>
      </w:r>
      <w:r w:rsidR="00B05515">
        <w:t>ESG</w:t>
      </w:r>
      <w:r w:rsidR="00DE1853">
        <w:t xml:space="preserve"> benefits.</w:t>
      </w:r>
      <w:r>
        <w:t xml:space="preserve"> </w:t>
      </w:r>
    </w:p>
    <w:p w14:paraId="2531660A" w14:textId="7C2C2D8C" w:rsidR="006F2221" w:rsidRDefault="00054987" w:rsidP="00054987">
      <w:pPr>
        <w:pStyle w:val="Heading1"/>
      </w:pPr>
      <w:r>
        <w:t>RESULTS</w:t>
      </w:r>
    </w:p>
    <w:p w14:paraId="4806691D" w14:textId="148FD249" w:rsidR="00F10C77" w:rsidRPr="00D322E9" w:rsidRDefault="00365A71" w:rsidP="00F10C77">
      <w:r>
        <w:t>The experimental results illustrate how project economics shift when ESG factors are incorporated into the TEA structure, for the simp</w:t>
      </w:r>
      <w:r w:rsidR="00B737CE">
        <w:t>lified closed-loop geothermal system studied.</w:t>
      </w:r>
    </w:p>
    <w:tbl>
      <w:tblPr>
        <w:tblStyle w:val="TableGrid"/>
        <w:tblW w:w="0" w:type="auto"/>
        <w:tblLook w:val="04A0" w:firstRow="1" w:lastRow="0" w:firstColumn="1" w:lastColumn="0" w:noHBand="0" w:noVBand="1"/>
      </w:tblPr>
      <w:tblGrid>
        <w:gridCol w:w="2466"/>
        <w:gridCol w:w="2349"/>
        <w:gridCol w:w="2551"/>
        <w:gridCol w:w="2143"/>
      </w:tblGrid>
      <w:tr w:rsidR="00DD4E63" w14:paraId="60F23EE1" w14:textId="2FBFDA47" w:rsidTr="00DD4E63">
        <w:tc>
          <w:tcPr>
            <w:tcW w:w="2466" w:type="dxa"/>
          </w:tcPr>
          <w:p w14:paraId="57AE206B" w14:textId="4C3ECEBC" w:rsidR="00DD4E63" w:rsidRDefault="00DD4E63" w:rsidP="00E90FFC">
            <w:r>
              <w:t>ESG Parameter Set</w:t>
            </w:r>
          </w:p>
        </w:tc>
        <w:tc>
          <w:tcPr>
            <w:tcW w:w="2349" w:type="dxa"/>
          </w:tcPr>
          <w:p w14:paraId="4E1E9EBC" w14:textId="1C3138FD" w:rsidR="00DD4E63" w:rsidRDefault="00DD4E63" w:rsidP="003E0490">
            <w:pPr>
              <w:jc w:val="center"/>
            </w:pPr>
            <m:oMathPara>
              <m:oMath>
                <m:r>
                  <w:rPr>
                    <w:rFonts w:ascii="Cambria Math" w:hAnsi="Cambria Math"/>
                  </w:rPr>
                  <m:t>LCOE</m:t>
                </m:r>
              </m:oMath>
            </m:oMathPara>
          </w:p>
        </w:tc>
        <w:tc>
          <w:tcPr>
            <w:tcW w:w="2551" w:type="dxa"/>
          </w:tcPr>
          <w:p w14:paraId="07BC616D" w14:textId="78BCE11A" w:rsidR="00DD4E63" w:rsidRDefault="00642802" w:rsidP="00DD4E63">
            <w:pPr>
              <w:jc w:val="center"/>
            </w:pPr>
            <m:oMathPara>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xml:space="preserve"> </m:t>
                </m:r>
              </m:oMath>
            </m:oMathPara>
          </w:p>
        </w:tc>
        <w:tc>
          <w:tcPr>
            <w:tcW w:w="2143" w:type="dxa"/>
          </w:tcPr>
          <w:p w14:paraId="6E25AD62" w14:textId="58B56760" w:rsidR="00DD4E63" w:rsidRDefault="00642802" w:rsidP="00DD4E63">
            <w:pPr>
              <w:jc w:val="center"/>
            </w:pPr>
            <m:oMathPara>
              <m:oMath>
                <m:r>
                  <w:rPr>
                    <w:rFonts w:ascii="Cambria Math" w:hAnsi="Cambria Math"/>
                  </w:rPr>
                  <m:t>XLCO</m:t>
                </m:r>
                <m:sSub>
                  <m:sSubPr>
                    <m:ctrlPr>
                      <w:rPr>
                        <w:rFonts w:ascii="Cambria Math" w:hAnsi="Cambria Math"/>
                        <w:i/>
                      </w:rPr>
                    </m:ctrlPr>
                  </m:sSubPr>
                  <m:e>
                    <m:r>
                      <w:rPr>
                        <w:rFonts w:ascii="Cambria Math" w:hAnsi="Cambria Math"/>
                      </w:rPr>
                      <m:t>E</m:t>
                    </m:r>
                  </m:e>
                  <m:sub>
                    <m:r>
                      <w:rPr>
                        <w:rFonts w:ascii="Cambria Math" w:hAnsi="Cambria Math"/>
                      </w:rPr>
                      <m:t>m,s</m:t>
                    </m:r>
                  </m:sub>
                </m:sSub>
                <m:r>
                  <w:rPr>
                    <w:rFonts w:ascii="Cambria Math" w:hAnsi="Cambria Math"/>
                  </w:rPr>
                  <m:t xml:space="preserve"> </m:t>
                </m:r>
              </m:oMath>
            </m:oMathPara>
          </w:p>
        </w:tc>
      </w:tr>
      <w:tr w:rsidR="00DD4E63" w14:paraId="0816CEA4" w14:textId="65B4D3AE" w:rsidTr="00DD4E63">
        <w:tc>
          <w:tcPr>
            <w:tcW w:w="2466" w:type="dxa"/>
          </w:tcPr>
          <w:p w14:paraId="725AF16D" w14:textId="13332448" w:rsidR="00DD4E63" w:rsidRDefault="00DD4E63" w:rsidP="00E90FFC">
            <w:r>
              <w:t>Low Values</w:t>
            </w:r>
          </w:p>
        </w:tc>
        <w:tc>
          <w:tcPr>
            <w:tcW w:w="2349" w:type="dxa"/>
          </w:tcPr>
          <w:p w14:paraId="25ECCA3A" w14:textId="7D290D76" w:rsidR="00DD4E63" w:rsidRDefault="00DD4E63" w:rsidP="00D322E9">
            <w:pPr>
              <w:jc w:val="center"/>
            </w:pPr>
            <w:r>
              <w:t>$</w:t>
            </w:r>
            <w:r w:rsidR="00F71B19">
              <w:t>80</w:t>
            </w:r>
            <w:r w:rsidR="00791B00">
              <w:t xml:space="preserve"> </w:t>
            </w:r>
            <m:oMath>
              <m:r>
                <m:rPr>
                  <m:sty m:val="p"/>
                </m:rPr>
                <w:rPr>
                  <w:rFonts w:ascii="Cambria Math" w:hAnsi="Cambria Math"/>
                </w:rPr>
                <m:t>USD/MWh</m:t>
              </m:r>
            </m:oMath>
          </w:p>
        </w:tc>
        <w:tc>
          <w:tcPr>
            <w:tcW w:w="2551" w:type="dxa"/>
          </w:tcPr>
          <w:p w14:paraId="1A16AF21" w14:textId="5C62DFDE" w:rsidR="00DD4E63" w:rsidRDefault="00DD4E63" w:rsidP="00DD4E63">
            <w:pPr>
              <w:jc w:val="center"/>
            </w:pPr>
            <w:r>
              <w:t>$</w:t>
            </w:r>
            <w:r w:rsidR="001416B7">
              <w:t>69</w:t>
            </w:r>
            <w:r w:rsidR="00791B00">
              <w:t xml:space="preserve"> </w:t>
            </w:r>
            <m:oMath>
              <m:r>
                <m:rPr>
                  <m:sty m:val="p"/>
                </m:rPr>
                <w:rPr>
                  <w:rFonts w:ascii="Cambria Math" w:hAnsi="Cambria Math"/>
                </w:rPr>
                <m:t>USD/MWh</m:t>
              </m:r>
            </m:oMath>
          </w:p>
        </w:tc>
        <w:tc>
          <w:tcPr>
            <w:tcW w:w="2143" w:type="dxa"/>
          </w:tcPr>
          <w:p w14:paraId="6529A2E2" w14:textId="3EF5C645" w:rsidR="00DD4E63" w:rsidRDefault="000351A7" w:rsidP="00DD4E63">
            <w:pPr>
              <w:jc w:val="center"/>
            </w:pPr>
            <w:r>
              <w:t>$</w:t>
            </w:r>
            <w:r w:rsidR="00EE207E">
              <w:t>5</w:t>
            </w:r>
            <w:r w:rsidR="001416B7">
              <w:t>1</w:t>
            </w:r>
            <w:r>
              <w:t xml:space="preserve"> </w:t>
            </w:r>
            <m:oMath>
              <m:r>
                <m:rPr>
                  <m:sty m:val="p"/>
                </m:rPr>
                <w:rPr>
                  <w:rFonts w:ascii="Cambria Math" w:hAnsi="Cambria Math"/>
                </w:rPr>
                <m:t>USD/MWh</m:t>
              </m:r>
            </m:oMath>
          </w:p>
        </w:tc>
      </w:tr>
      <w:tr w:rsidR="00DD4E63" w14:paraId="6352524E" w14:textId="7B645000" w:rsidTr="00DD4E63">
        <w:tc>
          <w:tcPr>
            <w:tcW w:w="2466" w:type="dxa"/>
          </w:tcPr>
          <w:p w14:paraId="6E022C90" w14:textId="5AAF53EA" w:rsidR="00DD4E63" w:rsidRDefault="00DD4E63" w:rsidP="00E90FFC">
            <w:r>
              <w:t>High Values</w:t>
            </w:r>
          </w:p>
        </w:tc>
        <w:tc>
          <w:tcPr>
            <w:tcW w:w="2349" w:type="dxa"/>
          </w:tcPr>
          <w:p w14:paraId="647478FC" w14:textId="4A200AFE" w:rsidR="00DD4E63" w:rsidRDefault="00791B00" w:rsidP="00791B00">
            <w:pPr>
              <w:jc w:val="center"/>
            </w:pPr>
            <w:r>
              <w:t>$</w:t>
            </w:r>
            <w:r w:rsidR="00F71B19">
              <w:t>80</w:t>
            </w:r>
            <w:r>
              <w:t xml:space="preserve"> </w:t>
            </w:r>
            <m:oMath>
              <m:r>
                <m:rPr>
                  <m:sty m:val="p"/>
                </m:rPr>
                <w:rPr>
                  <w:rFonts w:ascii="Cambria Math" w:hAnsi="Cambria Math"/>
                </w:rPr>
                <m:t>USD/MWh</m:t>
              </m:r>
            </m:oMath>
          </w:p>
        </w:tc>
        <w:tc>
          <w:tcPr>
            <w:tcW w:w="2551" w:type="dxa"/>
          </w:tcPr>
          <w:p w14:paraId="4A27D2DD" w14:textId="40C2FA1A" w:rsidR="00DD4E63" w:rsidRDefault="0087145B" w:rsidP="00791B00">
            <w:pPr>
              <w:jc w:val="center"/>
            </w:pPr>
            <w:r>
              <w:t>$</w:t>
            </w:r>
            <w:r w:rsidR="001416B7">
              <w:t>34</w:t>
            </w:r>
            <w:r>
              <w:t xml:space="preserve"> </w:t>
            </w:r>
            <m:oMath>
              <m:r>
                <m:rPr>
                  <m:sty m:val="p"/>
                </m:rPr>
                <w:rPr>
                  <w:rFonts w:ascii="Cambria Math" w:hAnsi="Cambria Math"/>
                </w:rPr>
                <m:t>USD/MWh</m:t>
              </m:r>
            </m:oMath>
          </w:p>
        </w:tc>
        <w:tc>
          <w:tcPr>
            <w:tcW w:w="2143" w:type="dxa"/>
          </w:tcPr>
          <w:p w14:paraId="525DFB5F" w14:textId="7D72B803" w:rsidR="00DD4E63" w:rsidRDefault="00EE207E" w:rsidP="00791B00">
            <w:pPr>
              <w:jc w:val="center"/>
            </w:pPr>
            <w:r>
              <w:t>$</w:t>
            </w:r>
            <w:r w:rsidR="001416B7">
              <w:t>11</w:t>
            </w:r>
            <w:r>
              <w:t xml:space="preserve"> </w:t>
            </w:r>
            <m:oMath>
              <m:r>
                <m:rPr>
                  <m:sty m:val="p"/>
                </m:rPr>
                <w:rPr>
                  <w:rFonts w:ascii="Cambria Math" w:hAnsi="Cambria Math"/>
                </w:rPr>
                <m:t>USD/MWh</m:t>
              </m:r>
            </m:oMath>
          </w:p>
        </w:tc>
      </w:tr>
    </w:tbl>
    <w:p w14:paraId="51836224" w14:textId="77777777" w:rsidR="00E857EF" w:rsidRDefault="00E857EF" w:rsidP="00054987"/>
    <w:p w14:paraId="307ABC98" w14:textId="572214C3" w:rsidR="00054987" w:rsidRPr="00054987" w:rsidRDefault="006E45B0" w:rsidP="00054987">
      <w:r>
        <w:t xml:space="preserve">It should be noted that outcomes will vary substantially across technologies, locations, </w:t>
      </w:r>
      <w:r w:rsidR="009A7ABC">
        <w:t>displaced sources</w:t>
      </w:r>
      <w:r w:rsidR="006B3103">
        <w:t>,</w:t>
      </w:r>
      <w:r w:rsidR="009A7ABC">
        <w:t xml:space="preserve"> </w:t>
      </w:r>
      <w:r>
        <w:t xml:space="preserve">and regional social-impact drivers. These variations are not a limitation of the framework but rather its intended purpose. By grounding the analysis in </w:t>
      </w:r>
      <w:r w:rsidR="00325664">
        <w:t>local geological, economic, and social conditions, the model provides a context-specific,</w:t>
      </w:r>
      <w:r>
        <w:t xml:space="preserve"> defensible financial assessment for each project.</w:t>
      </w:r>
    </w:p>
    <w:p w14:paraId="598FA872" w14:textId="37EEB00C" w:rsidR="006F2221" w:rsidRDefault="006F2221" w:rsidP="006F2221">
      <w:pPr>
        <w:pStyle w:val="Heading1"/>
      </w:pPr>
      <w:r>
        <w:t>DISCUSSION</w:t>
      </w:r>
    </w:p>
    <w:p w14:paraId="29CC60A3" w14:textId="6D64838E" w:rsidR="00A01572" w:rsidRPr="00A01572" w:rsidRDefault="00A01572" w:rsidP="00587CEE">
      <w:r w:rsidRPr="00A01572">
        <w:t xml:space="preserve">The results reveal </w:t>
      </w:r>
      <w:r w:rsidR="005276DF">
        <w:t>the</w:t>
      </w:r>
      <w:r w:rsidRPr="00A01572">
        <w:t xml:space="preserve"> striking implication of applying the proposed ESG-</w:t>
      </w:r>
      <w:r w:rsidR="005276DF">
        <w:t>TEA</w:t>
      </w:r>
      <w:r w:rsidRPr="00A01572">
        <w:t xml:space="preserve"> framework. Incorporating market and social parameters into the economic assessment reduced the effective LCOE of the example closed-loop </w:t>
      </w:r>
      <w:r w:rsidRPr="00A01572">
        <w:lastRenderedPageBreak/>
        <w:t>geothermal project by as much as 8</w:t>
      </w:r>
      <w:r w:rsidR="00A53317">
        <w:t>6</w:t>
      </w:r>
      <w:r w:rsidRPr="00A01572">
        <w:t xml:space="preserve"> percent under the high-value ESG scenario. Th</w:t>
      </w:r>
      <w:r w:rsidR="003D7C8E">
        <w:t>e</w:t>
      </w:r>
      <w:r w:rsidR="008417B0">
        <w:t xml:space="preserve"> updated</w:t>
      </w:r>
      <w:r w:rsidR="003D7C8E">
        <w:t>,</w:t>
      </w:r>
      <w:r w:rsidR="005276DF">
        <w:t xml:space="preserve"> comprehensive ESG-TEA</w:t>
      </w:r>
      <w:r w:rsidRPr="00A01572">
        <w:t xml:space="preserve"> </w:t>
      </w:r>
      <w:r w:rsidR="005276DF">
        <w:t xml:space="preserve">outcome </w:t>
      </w:r>
      <w:r w:rsidRPr="00A01572">
        <w:t xml:space="preserve">shifts the </w:t>
      </w:r>
      <w:r w:rsidR="001D6E73">
        <w:t>sample</w:t>
      </w:r>
      <w:r w:rsidR="005276DF">
        <w:t xml:space="preserve"> project from economically marginal to strongly competitive</w:t>
      </w:r>
      <w:r w:rsidRPr="00A01572">
        <w:t xml:space="preserve">. </w:t>
      </w:r>
      <w:r w:rsidR="005276DF">
        <w:t>This outcome establishes clearly that</w:t>
      </w:r>
      <w:r w:rsidRPr="00A01572">
        <w:t xml:space="preserve"> ESG </w:t>
      </w:r>
      <w:r w:rsidR="005276DF">
        <w:t>parameters</w:t>
      </w:r>
      <w:r w:rsidRPr="00A01572">
        <w:t xml:space="preserve"> fundamentally reshape the economic profile of the </w:t>
      </w:r>
      <w:r w:rsidR="005276DF">
        <w:t>project</w:t>
      </w:r>
      <w:r w:rsidRPr="00A01572">
        <w:t xml:space="preserve"> and therefore merit explicit treatment in techno-economic analysis.</w:t>
      </w:r>
    </w:p>
    <w:p w14:paraId="514A1C30" w14:textId="001CCE92" w:rsidR="006F2221" w:rsidRPr="00A91647" w:rsidRDefault="005276DF" w:rsidP="00E94B9B">
      <w:r>
        <w:t xml:space="preserve">Continuing work on the proposed ESG-TEA framework requires consideration of </w:t>
      </w:r>
      <w:r w:rsidR="001E56C4" w:rsidRPr="001E56C4">
        <w:t>uncertainties in parameter inputs, regional variability, and</w:t>
      </w:r>
      <w:r>
        <w:t xml:space="preserve"> the</w:t>
      </w:r>
      <w:r w:rsidR="001E56C4" w:rsidRPr="001E56C4">
        <w:t xml:space="preserve"> limited availability of consistent ESG data. The following subsections outline these considerations and identify areas where the framework can be refined </w:t>
      </w:r>
      <w:r w:rsidR="006B3103">
        <w:t>to better support both investor analysis and policy design</w:t>
      </w:r>
      <w:r w:rsidR="001E56C4" w:rsidRPr="001E56C4">
        <w:t>.</w:t>
      </w:r>
    </w:p>
    <w:p w14:paraId="7E287865" w14:textId="7094D7E3" w:rsidR="00F44F6B" w:rsidRDefault="00B3642B" w:rsidP="00F44F6B">
      <w:pPr>
        <w:pStyle w:val="Heading2"/>
      </w:pPr>
      <w:r>
        <w:t>Value of ESG Drivers</w:t>
      </w:r>
      <w:r w:rsidR="00785201">
        <w:t xml:space="preserve"> </w:t>
      </w:r>
    </w:p>
    <w:p w14:paraId="573A3F22" w14:textId="0669AD22" w:rsidR="00C240EF" w:rsidRPr="00C240EF" w:rsidRDefault="00F7703E" w:rsidP="00C240EF">
      <w:pPr>
        <w:pStyle w:val="Heading3"/>
      </w:pPr>
      <w:r>
        <w:t>Renewable Energy Certificates</w:t>
      </w:r>
    </w:p>
    <w:p w14:paraId="719FA77C" w14:textId="590F0464" w:rsidR="00F44F6B" w:rsidRDefault="006B3103" w:rsidP="00F44F6B">
      <w:r>
        <w:t>The geothermal sector is currently experiencing rapid growth and strong demand as a reliable, autonomous baseload energy source</w:t>
      </w:r>
      <w:r w:rsidR="00F44F6B">
        <w:t xml:space="preserve">. However, policy and regulatory adjustments have not yet been deployed to reflect its rising position in the energy market. Due to this lag, </w:t>
      </w:r>
      <w:r w:rsidR="0046437A">
        <w:t>geothermal</w:t>
      </w:r>
      <w:r w:rsidR="00F44F6B">
        <w:t xml:space="preserve"> RECs </w:t>
      </w:r>
      <w:r w:rsidR="00FF7A14">
        <w:t xml:space="preserve">are often priced </w:t>
      </w:r>
      <w:r w:rsidR="00F44F6B">
        <w:t>at the lowest tier</w:t>
      </w:r>
      <w:r w:rsidR="00DB1F3A">
        <w:t xml:space="preserve"> in open and compliance markets</w:t>
      </w:r>
      <w:r w:rsidR="0016455D">
        <w:t>.</w:t>
      </w:r>
      <w:r w:rsidR="003319E5">
        <w:t xml:space="preserve"> As REC pricing evolves, the </w:t>
      </w:r>
      <w:r>
        <w:t>ESG benefit's impact</w:t>
      </w:r>
      <w:r w:rsidR="003319E5">
        <w:t xml:space="preserve"> </w:t>
      </w:r>
      <w:r w:rsidR="00785201">
        <w:t>will</w:t>
      </w:r>
      <w:r w:rsidR="00C240EF">
        <w:t xml:space="preserve"> be reflected in this market-driven framework</w:t>
      </w:r>
      <w:r w:rsidR="00CC045B">
        <w:t>.</w:t>
      </w:r>
    </w:p>
    <w:p w14:paraId="341E3A35" w14:textId="4423CD68" w:rsidR="00F7703E" w:rsidRDefault="00F7703E" w:rsidP="00F7703E">
      <w:pPr>
        <w:pStyle w:val="Heading3"/>
      </w:pPr>
      <w:r>
        <w:t xml:space="preserve">Idle Equipment </w:t>
      </w:r>
      <w:r w:rsidR="00E94B9B">
        <w:t>Discount</w:t>
      </w:r>
    </w:p>
    <w:p w14:paraId="6AA3DF8A" w14:textId="4877D72E" w:rsidR="000D2566" w:rsidRDefault="00AA3AF7" w:rsidP="00F44F6B">
      <w:r>
        <w:t>Leveraging idle equipment</w:t>
      </w:r>
      <w:r w:rsidR="000C3606">
        <w:t xml:space="preserve"> and expertise</w:t>
      </w:r>
      <w:r>
        <w:t xml:space="preserve"> is a </w:t>
      </w:r>
      <w:r w:rsidR="0028605B">
        <w:t xml:space="preserve">recognized </w:t>
      </w:r>
      <w:r>
        <w:t xml:space="preserve">conceptual </w:t>
      </w:r>
      <w:r w:rsidR="00E3688B">
        <w:t>approach to improve the economics of geothermal</w:t>
      </w:r>
      <w:r w:rsidR="00DB74B1">
        <w:t xml:space="preserve"> (</w:t>
      </w:r>
      <w:r w:rsidR="007B4FFC" w:rsidRPr="007B4512">
        <w:rPr>
          <w:lang w:val="en-CA"/>
        </w:rPr>
        <w:t>Schlumberger</w:t>
      </w:r>
      <w:r w:rsidR="007B4FFC">
        <w:t>, 2013</w:t>
      </w:r>
      <w:r w:rsidR="00DB74B1">
        <w:t>)</w:t>
      </w:r>
      <w:r w:rsidR="007E51A0">
        <w:t>;</w:t>
      </w:r>
      <w:r>
        <w:t xml:space="preserve"> however</w:t>
      </w:r>
      <w:r w:rsidR="007E51A0">
        <w:t xml:space="preserve">, </w:t>
      </w:r>
      <w:r>
        <w:t xml:space="preserve">quantifying this </w:t>
      </w:r>
      <w:r w:rsidR="0028605B">
        <w:t>impact</w:t>
      </w:r>
      <w:r w:rsidR="006F3A28">
        <w:t xml:space="preserve"> is the most speculative</w:t>
      </w:r>
      <w:r w:rsidR="007E51A0">
        <w:t xml:space="preserve"> of the ESG parameters</w:t>
      </w:r>
      <w:r w:rsidR="006F3A28">
        <w:t xml:space="preserve">. The authors are not aware of any </w:t>
      </w:r>
      <w:r w:rsidR="00EA14A7">
        <w:t>published</w:t>
      </w:r>
      <w:r w:rsidR="006F3A28">
        <w:t xml:space="preserve"> information </w:t>
      </w:r>
      <w:r w:rsidR="00EA14A7">
        <w:t>to prove that this idle capacity has been secured, or at what discount</w:t>
      </w:r>
      <w:r w:rsidR="007E51A0">
        <w:t xml:space="preserve">, by any geothermal project. As day rates are negotiated and </w:t>
      </w:r>
      <w:r w:rsidR="00325664">
        <w:t>project-specific, we recommend starting with a conservative range until negotiations solidify or concrete external incentives are proposed to</w:t>
      </w:r>
      <w:r w:rsidR="00615FE9">
        <w:t xml:space="preserve"> fund the </w:t>
      </w:r>
      <w:r w:rsidR="002866EF">
        <w:t>discount</w:t>
      </w:r>
      <w:r w:rsidR="00B03E68">
        <w:t>.</w:t>
      </w:r>
    </w:p>
    <w:p w14:paraId="103F583A" w14:textId="399940F1" w:rsidR="00E94B9B" w:rsidRDefault="00E94B9B" w:rsidP="00E94B9B">
      <w:pPr>
        <w:pStyle w:val="Heading3"/>
      </w:pPr>
      <w:r w:rsidRPr="00E94B9B">
        <w:t>Water</w:t>
      </w:r>
      <w:r>
        <w:t xml:space="preserve"> Offset </w:t>
      </w:r>
      <w:r w:rsidR="005A1E9B">
        <w:t>Value</w:t>
      </w:r>
    </w:p>
    <w:p w14:paraId="7393A3D2" w14:textId="6C2D571B" w:rsidR="004A6C7D" w:rsidRDefault="005A1E9B" w:rsidP="00F44F6B">
      <w:r>
        <w:rPr>
          <w:lang w:val="en-CA"/>
        </w:rPr>
        <w:t xml:space="preserve">The proposed valuation of water use avoidance is based on water shadow pricing. The </w:t>
      </w:r>
      <w:r w:rsidR="004A6C7D" w:rsidRPr="000644B4">
        <w:rPr>
          <w:lang w:val="en-CA"/>
        </w:rPr>
        <w:t xml:space="preserve">World Resources Institute </w:t>
      </w:r>
      <w:r w:rsidR="004A6C7D">
        <w:rPr>
          <w:lang w:val="en-CA"/>
        </w:rPr>
        <w:t>(</w:t>
      </w:r>
      <w:r w:rsidR="004A6C7D" w:rsidRPr="00C1787B">
        <w:t>WRI</w:t>
      </w:r>
      <w:r w:rsidR="004A6C7D">
        <w:t>)</w:t>
      </w:r>
      <w:r w:rsidR="004A6C7D" w:rsidRPr="00C1787B">
        <w:t xml:space="preserve"> Aqueduct </w:t>
      </w:r>
      <w:r>
        <w:t xml:space="preserve">additionally </w:t>
      </w:r>
      <w:r w:rsidR="004A6C7D">
        <w:t>publishes an atlas of watershed</w:t>
      </w:r>
      <w:r w:rsidR="004A6C7D" w:rsidRPr="00C1787B">
        <w:t xml:space="preserve"> stress indicator</w:t>
      </w:r>
      <w:r w:rsidR="004A6C7D">
        <w:t xml:space="preserve">s. </w:t>
      </w:r>
      <w:r w:rsidR="00325664">
        <w:t xml:space="preserve">Their </w:t>
      </w:r>
      <w:r w:rsidR="00062B68">
        <w:t>map</w:t>
      </w:r>
      <w:r w:rsidR="004A6C7D">
        <w:t xml:space="preserve"> </w:t>
      </w:r>
      <w:r w:rsidR="00325664">
        <w:t xml:space="preserve">indicates the level of overdraw in local aquifers, a consideration </w:t>
      </w:r>
      <w:r w:rsidR="005228F3">
        <w:t>not included in water shadow pricing.</w:t>
      </w:r>
      <w:r w:rsidR="004A6C7D">
        <w:t xml:space="preserve"> A future extension to th</w:t>
      </w:r>
      <w:r w:rsidR="00062B68">
        <w:t xml:space="preserve">e </w:t>
      </w:r>
      <w:r w:rsidR="004A6C7D">
        <w:t xml:space="preserve">Water Benefit </w:t>
      </w:r>
      <w:r w:rsidR="00062B68">
        <w:t xml:space="preserve">calculation </w:t>
      </w:r>
      <w:r w:rsidR="004A6C7D">
        <w:t>would include this factor</w:t>
      </w:r>
      <w:r w:rsidR="00325664">
        <w:t xml:space="preserve"> (perhaps time-variant)</w:t>
      </w:r>
      <w:r w:rsidR="004A6C7D">
        <w:t xml:space="preserve">, as the impact of </w:t>
      </w:r>
      <w:r w:rsidR="00EC507C">
        <w:t xml:space="preserve">water usage could be further scaled by </w:t>
      </w:r>
      <w:r w:rsidR="00325664">
        <w:t>the degree of</w:t>
      </w:r>
      <w:r w:rsidR="00EC507C">
        <w:t xml:space="preserve"> stress the basin. To </w:t>
      </w:r>
      <w:r w:rsidR="00325664">
        <w:t xml:space="preserve">address this, the value between 0 (best) and 1 (worst) </w:t>
      </w:r>
      <w:r w:rsidR="0040522F">
        <w:t>should</w:t>
      </w:r>
      <w:r w:rsidR="00325664">
        <w:t xml:space="preserve"> be scaled in an economically defensible manner to increase its</w:t>
      </w:r>
      <w:r w:rsidR="00922F3A">
        <w:t xml:space="preserve"> impact when the stress basin factor is high.</w:t>
      </w:r>
    </w:p>
    <w:p w14:paraId="6F31B3E8" w14:textId="3B3CD40C" w:rsidR="003D7FCF" w:rsidRDefault="003D7FCF" w:rsidP="003D7FCF">
      <w:pPr>
        <w:pStyle w:val="Heading2"/>
      </w:pPr>
      <w:r>
        <w:t>Access to ESG Data</w:t>
      </w:r>
      <w:r w:rsidR="00785201">
        <w:t xml:space="preserve"> </w:t>
      </w:r>
    </w:p>
    <w:p w14:paraId="184020A9" w14:textId="1CB18678" w:rsidR="003D7FCF" w:rsidRPr="00C56007" w:rsidRDefault="003D7FCF" w:rsidP="00F44F6B">
      <w:r>
        <w:t xml:space="preserve">A considerable challenge in this effort was finding reliable data sources for ESG parameter inputs. Much of the </w:t>
      </w:r>
      <w:r w:rsidR="00325664">
        <w:t>real-time market data on REC values, rig utilization, and carbon credits is not publicly available</w:t>
      </w:r>
      <w:r>
        <w:t xml:space="preserve">. When published reports do exist, they often omit segmentation </w:t>
      </w:r>
      <w:r w:rsidR="00325664">
        <w:t>by technology (which can significantly affect</w:t>
      </w:r>
      <w:r>
        <w:t xml:space="preserve"> the market value of RECs). The proposed framework will have </w:t>
      </w:r>
      <w:r w:rsidR="00325664">
        <w:t>limited value in areas where data on market drivers of ESG parameters is unavailable</w:t>
      </w:r>
      <w:r>
        <w:t xml:space="preserve">. Regulated, public release of reliable data on ESG factors would facilitate </w:t>
      </w:r>
      <w:r w:rsidR="00325664">
        <w:t xml:space="preserve">broader </w:t>
      </w:r>
      <w:r w:rsidR="005A73FF">
        <w:t>and more defensible</w:t>
      </w:r>
      <w:r>
        <w:t xml:space="preserve"> adoption of the ESG-TEA framework proposed here. </w:t>
      </w:r>
    </w:p>
    <w:p w14:paraId="30408BE4" w14:textId="56A93D51" w:rsidR="006E6BA7" w:rsidRDefault="006E6BA7" w:rsidP="006E6BA7">
      <w:pPr>
        <w:pStyle w:val="Heading1"/>
      </w:pPr>
      <w:r>
        <w:t>CONCLUSION</w:t>
      </w:r>
    </w:p>
    <w:p w14:paraId="44B96AB6" w14:textId="61805BDE" w:rsidR="00502B55" w:rsidRPr="00502B55" w:rsidRDefault="00502B55" w:rsidP="00502B55">
      <w:pPr>
        <w:rPr>
          <w:lang w:val="en-CA"/>
        </w:rPr>
      </w:pPr>
      <w:r w:rsidRPr="00502B55">
        <w:rPr>
          <w:lang w:val="en-CA"/>
        </w:rPr>
        <w:t xml:space="preserve">The sample analysis in this work shows that incorporating ESG factors into project-level techno-economic assessments can meaningfully influence geothermal project viability. Market-based components alone </w:t>
      </w:r>
      <w:r w:rsidR="00325664">
        <w:rPr>
          <w:lang w:val="en-CA"/>
        </w:rPr>
        <w:t>measurably shift the levelized cost</w:t>
      </w:r>
      <w:r w:rsidRPr="00502B55">
        <w:rPr>
          <w:lang w:val="en-CA"/>
        </w:rPr>
        <w:t xml:space="preserve">. Adding monetized social-value drivers reveals a much larger pool of unpriced benefits and shows how these could, in principle, be translated into </w:t>
      </w:r>
      <w:r w:rsidR="008C3E5F">
        <w:rPr>
          <w:lang w:val="en-CA"/>
        </w:rPr>
        <w:t xml:space="preserve">material </w:t>
      </w:r>
      <w:r w:rsidRPr="00502B55">
        <w:rPr>
          <w:lang w:val="en-CA"/>
        </w:rPr>
        <w:t xml:space="preserve">economic </w:t>
      </w:r>
      <w:r w:rsidR="008C3E5F">
        <w:rPr>
          <w:lang w:val="en-CA"/>
        </w:rPr>
        <w:t>incentives</w:t>
      </w:r>
      <w:r w:rsidRPr="00502B55">
        <w:rPr>
          <w:lang w:val="en-CA"/>
        </w:rPr>
        <w:t>. This demonstrates that both investor-focused and policy-oriented perspectives gain clarity when ESG parameters are represented in a structured, time-resolved form.</w:t>
      </w:r>
    </w:p>
    <w:p w14:paraId="183FB225" w14:textId="2CCA67E1" w:rsidR="00502B55" w:rsidRPr="00502B55" w:rsidRDefault="00565864" w:rsidP="00502B55">
      <w:pPr>
        <w:rPr>
          <w:lang w:val="en-CA"/>
        </w:rPr>
      </w:pPr>
      <w:r>
        <w:rPr>
          <w:lang w:val="en-CA"/>
        </w:rPr>
        <w:t xml:space="preserve">Several challenges were encountered </w:t>
      </w:r>
      <w:r w:rsidR="00325664">
        <w:rPr>
          <w:lang w:val="en-CA"/>
        </w:rPr>
        <w:t>during the proof-of-concept development</w:t>
      </w:r>
      <w:r w:rsidR="00502B55" w:rsidRPr="00502B55">
        <w:rPr>
          <w:lang w:val="en-CA"/>
        </w:rPr>
        <w:t>.</w:t>
      </w:r>
      <w:r w:rsidR="00AA6311">
        <w:rPr>
          <w:lang w:val="en-CA"/>
        </w:rPr>
        <w:t xml:space="preserve"> Public</w:t>
      </w:r>
      <w:r>
        <w:rPr>
          <w:lang w:val="en-CA"/>
        </w:rPr>
        <w:t xml:space="preserve"> </w:t>
      </w:r>
      <w:r w:rsidR="00502B55" w:rsidRPr="00502B55">
        <w:rPr>
          <w:lang w:val="en-CA"/>
        </w:rPr>
        <w:t xml:space="preserve">ESG </w:t>
      </w:r>
      <w:r w:rsidR="00325664">
        <w:rPr>
          <w:lang w:val="en-CA"/>
        </w:rPr>
        <w:t>datasets</w:t>
      </w:r>
      <w:r w:rsidR="00325664" w:rsidRPr="00502B55">
        <w:rPr>
          <w:lang w:val="en-CA"/>
        </w:rPr>
        <w:t xml:space="preserve"> </w:t>
      </w:r>
      <w:r w:rsidR="00502B55" w:rsidRPr="00502B55">
        <w:rPr>
          <w:lang w:val="en-CA"/>
        </w:rPr>
        <w:t xml:space="preserve">are limited, inconsistently reported, and often not </w:t>
      </w:r>
      <w:r w:rsidR="0026416F">
        <w:rPr>
          <w:lang w:val="en-CA"/>
        </w:rPr>
        <w:t>segmented</w:t>
      </w:r>
      <w:r w:rsidR="00502B55" w:rsidRPr="00502B55">
        <w:rPr>
          <w:lang w:val="en-CA"/>
        </w:rPr>
        <w:t xml:space="preserve"> by technology or region. Social impacts require careful treatment, particularly with respect to discounting and valuation methods. </w:t>
      </w:r>
      <w:r w:rsidR="00325664">
        <w:rPr>
          <w:lang w:val="en-CA"/>
        </w:rPr>
        <w:t>The application of more sophisticated, commercial ESG datasets will improve the integrity of subsequent studies that use</w:t>
      </w:r>
      <w:r w:rsidR="007262FA">
        <w:rPr>
          <w:lang w:val="en-CA"/>
        </w:rPr>
        <w:t xml:space="preserve"> this </w:t>
      </w:r>
      <w:r w:rsidR="00333563">
        <w:rPr>
          <w:lang w:val="en-CA"/>
        </w:rPr>
        <w:t>proof of concept as a guide</w:t>
      </w:r>
      <w:r w:rsidR="00AA6311">
        <w:rPr>
          <w:lang w:val="en-CA"/>
        </w:rPr>
        <w:t>.</w:t>
      </w:r>
    </w:p>
    <w:p w14:paraId="5EA1E9BD" w14:textId="522E3D9D" w:rsidR="00502B55" w:rsidRPr="00502B55" w:rsidRDefault="00502B55" w:rsidP="00502B55">
      <w:pPr>
        <w:rPr>
          <w:lang w:val="en-CA"/>
        </w:rPr>
      </w:pPr>
      <w:r w:rsidRPr="00502B55">
        <w:rPr>
          <w:lang w:val="en-CA"/>
        </w:rPr>
        <w:t>Even with these limitations, the approach offers clear value. It provides defensible investor-grade metric</w:t>
      </w:r>
      <w:r w:rsidR="00325664">
        <w:rPr>
          <w:lang w:val="en-CA"/>
        </w:rPr>
        <w:t>s</w:t>
      </w:r>
      <w:r w:rsidRPr="00502B55">
        <w:rPr>
          <w:lang w:val="en-CA"/>
        </w:rPr>
        <w:t xml:space="preserve"> </w:t>
      </w:r>
      <w:r w:rsidR="00325664">
        <w:rPr>
          <w:lang w:val="en-CA"/>
        </w:rPr>
        <w:t>that already exist in the market</w:t>
      </w:r>
      <w:r w:rsidRPr="00502B55">
        <w:rPr>
          <w:lang w:val="en-CA"/>
        </w:rPr>
        <w:t xml:space="preserve">. At the same time, it generates a policy-oriented view that quantifies the incentive </w:t>
      </w:r>
      <w:r w:rsidRPr="00502B55">
        <w:rPr>
          <w:lang w:val="en-CA"/>
        </w:rPr>
        <w:lastRenderedPageBreak/>
        <w:t>needed to internalize social benefits. The general trends observed were expected, but the magnitude of the impacts was not. This reinforces the importance of continued work in this area.</w:t>
      </w:r>
    </w:p>
    <w:p w14:paraId="0490EFA0" w14:textId="52FEA380" w:rsidR="00502B55" w:rsidRDefault="00502B55" w:rsidP="00502B55">
      <w:pPr>
        <w:rPr>
          <w:lang w:val="en-CA"/>
        </w:rPr>
      </w:pPr>
      <w:r w:rsidRPr="00502B55">
        <w:rPr>
          <w:lang w:val="en-CA"/>
        </w:rPr>
        <w:t xml:space="preserve">Next steps include refining parameter inputs, expanding the analysis to additional regions and technologies, and improving access to reliable ESG market data. Engagement with regulators and industry stakeholders will also be important to assess how monetized social-value drivers can inform incentive design. As these areas advance, the framework can support more aligned investment decisions, </w:t>
      </w:r>
      <w:r w:rsidR="008C3E5F">
        <w:rPr>
          <w:lang w:val="en-CA"/>
        </w:rPr>
        <w:t>data-driven</w:t>
      </w:r>
      <w:r w:rsidRPr="00502B55">
        <w:rPr>
          <w:lang w:val="en-CA"/>
        </w:rPr>
        <w:t xml:space="preserve"> policy development, and </w:t>
      </w:r>
      <w:r w:rsidR="00325664">
        <w:rPr>
          <w:lang w:val="en-CA"/>
        </w:rPr>
        <w:t>broader</w:t>
      </w:r>
      <w:r w:rsidR="00325664" w:rsidRPr="00502B55">
        <w:rPr>
          <w:lang w:val="en-CA"/>
        </w:rPr>
        <w:t xml:space="preserve"> </w:t>
      </w:r>
      <w:r w:rsidRPr="00502B55">
        <w:rPr>
          <w:lang w:val="en-CA"/>
        </w:rPr>
        <w:t>deployment of high-value geothermal and other clean energy technologies.</w:t>
      </w:r>
    </w:p>
    <w:p w14:paraId="34BF8E7F" w14:textId="5951977D" w:rsidR="005156E2" w:rsidRDefault="005156E2" w:rsidP="00784953">
      <w:pPr>
        <w:pStyle w:val="AcknowStyle"/>
        <w:rPr>
          <w:lang w:val="en-CA"/>
        </w:rPr>
      </w:pPr>
      <w:r w:rsidRPr="00784953">
        <w:t>Acknowledgements</w:t>
      </w:r>
    </w:p>
    <w:p w14:paraId="2BED5C49" w14:textId="3B927D03" w:rsidR="005156E2" w:rsidRPr="005156E2" w:rsidRDefault="009A599E" w:rsidP="00784953">
      <w:pPr>
        <w:rPr>
          <w:lang w:val="en-CA"/>
        </w:rPr>
      </w:pPr>
      <w:r w:rsidRPr="009A599E">
        <w:t xml:space="preserve">We acknowledge the </w:t>
      </w:r>
      <w:r w:rsidRPr="00784953">
        <w:t>Water</w:t>
      </w:r>
      <w:r w:rsidRPr="009A599E">
        <w:t xml:space="preserve"> Atlas Aqueduct for providing valuable insight into global water scarcity</w:t>
      </w:r>
      <w:r w:rsidR="0040522F">
        <w:t>.</w:t>
      </w:r>
    </w:p>
    <w:p w14:paraId="4E6C1611" w14:textId="4C9C0041" w:rsidR="004A109A" w:rsidRDefault="004A109A" w:rsidP="00236677">
      <w:pPr>
        <w:pStyle w:val="Heading"/>
      </w:pPr>
      <w:r>
        <w:t>References</w:t>
      </w:r>
    </w:p>
    <w:p w14:paraId="4976D976" w14:textId="29A01680" w:rsidR="004F1CC1" w:rsidRDefault="004F1CC1" w:rsidP="006167FA">
      <w:pPr>
        <w:pStyle w:val="Reference"/>
      </w:pPr>
      <w:r>
        <w:t>United Nations Global Compact</w:t>
      </w:r>
      <w:r w:rsidR="005B09B5">
        <w:t>,</w:t>
      </w:r>
      <w:r>
        <w:t xml:space="preserve"> </w:t>
      </w:r>
      <w:r w:rsidRPr="006F3E79">
        <w:rPr>
          <w:rStyle w:val="Emphasis"/>
          <w:i w:val="0"/>
          <w:iCs w:val="0"/>
        </w:rPr>
        <w:t>Who Cares Wins: Connecting Financial Markets to a Changing World</w:t>
      </w:r>
      <w:r>
        <w:t xml:space="preserve">, </w:t>
      </w:r>
      <w:r w:rsidRPr="006F3E79">
        <w:rPr>
          <w:i/>
          <w:iCs/>
        </w:rPr>
        <w:t>Proceedings</w:t>
      </w:r>
      <w:r>
        <w:t>, United Nations Global Compact Initiative, New York, USA (2004).</w:t>
      </w:r>
    </w:p>
    <w:p w14:paraId="50783476" w14:textId="074014AE" w:rsidR="008F69A1" w:rsidRDefault="00F06A06" w:rsidP="008F69A1">
      <w:pPr>
        <w:pStyle w:val="Reference"/>
      </w:pPr>
      <w:r w:rsidRPr="00F06A06">
        <w:t xml:space="preserve">ECOFYS and Fraunhofer ISI., Methodologies for Estimating </w:t>
      </w:r>
      <w:proofErr w:type="spellStart"/>
      <w:r w:rsidRPr="00F06A06">
        <w:t>Levelised</w:t>
      </w:r>
      <w:proofErr w:type="spellEnd"/>
      <w:r w:rsidRPr="00F06A06">
        <w:t xml:space="preserve"> Cost of Electricity (LCOE): Final Report, </w:t>
      </w:r>
      <w:r w:rsidRPr="00587CEE">
        <w:rPr>
          <w:i/>
          <w:iCs/>
        </w:rPr>
        <w:t>Report</w:t>
      </w:r>
      <w:r w:rsidRPr="00F06A06">
        <w:t>, ECOFYS / Fraunhofer ISI, Europe (2014).</w:t>
      </w:r>
    </w:p>
    <w:p w14:paraId="19C1B307" w14:textId="6D7357F0" w:rsidR="006B14F6" w:rsidRDefault="006B14F6" w:rsidP="006167FA">
      <w:pPr>
        <w:pStyle w:val="Reference"/>
      </w:pPr>
      <w:r>
        <w:t>Lazard.</w:t>
      </w:r>
      <w:r w:rsidR="00EA4E26">
        <w:t>,</w:t>
      </w:r>
      <w:r>
        <w:t xml:space="preserve"> </w:t>
      </w:r>
      <w:r w:rsidRPr="00EA4E26">
        <w:rPr>
          <w:rStyle w:val="Emphasis"/>
          <w:i w:val="0"/>
          <w:iCs w:val="0"/>
        </w:rPr>
        <w:t xml:space="preserve">Levelized Cost of Energy+ (LCOE+) </w:t>
      </w:r>
      <w:r w:rsidR="00E978C1" w:rsidRPr="00EA4E26">
        <w:rPr>
          <w:rStyle w:val="Emphasis"/>
          <w:i w:val="0"/>
          <w:iCs w:val="0"/>
        </w:rPr>
        <w:t>--</w:t>
      </w:r>
      <w:r w:rsidRPr="00EA4E26">
        <w:rPr>
          <w:rStyle w:val="Emphasis"/>
          <w:i w:val="0"/>
          <w:iCs w:val="0"/>
        </w:rPr>
        <w:t xml:space="preserve"> Version 18.0</w:t>
      </w:r>
      <w:r>
        <w:t xml:space="preserve">, </w:t>
      </w:r>
      <w:r w:rsidR="00896626" w:rsidRPr="00587CEE">
        <w:rPr>
          <w:i/>
          <w:iCs/>
        </w:rPr>
        <w:t>Report</w:t>
      </w:r>
      <w:r w:rsidR="00896626">
        <w:t xml:space="preserve">, </w:t>
      </w:r>
      <w:r>
        <w:t>Lazard Inc., New York, USA (2025).</w:t>
      </w:r>
    </w:p>
    <w:p w14:paraId="12FA50AF" w14:textId="080375DE" w:rsidR="008F69A1" w:rsidRDefault="008F69A1" w:rsidP="006167FA">
      <w:pPr>
        <w:pStyle w:val="Reference"/>
      </w:pPr>
      <w:r w:rsidRPr="008F69A1">
        <w:t>K. Yang, D. Miao, H. Yue, S. Xu and J. Zhang, Research on the Value-adjusted Levelized Cost of Electricity and Its Application,</w:t>
      </w:r>
      <w:r w:rsidR="001D70E1">
        <w:t xml:space="preserve"> </w:t>
      </w:r>
      <w:r w:rsidRPr="008F69A1">
        <w:rPr>
          <w:i/>
          <w:iCs/>
        </w:rPr>
        <w:t>2024 6th International Conference on Energy, Power and Grid (ICEPG)</w:t>
      </w:r>
      <w:r w:rsidRPr="008F69A1">
        <w:t xml:space="preserve">, </w:t>
      </w:r>
      <w:r w:rsidR="001D70E1">
        <w:t>(</w:t>
      </w:r>
      <w:r w:rsidRPr="008F69A1">
        <w:t>2024</w:t>
      </w:r>
      <w:r w:rsidR="001D70E1">
        <w:t>)</w:t>
      </w:r>
      <w:r w:rsidRPr="008F69A1">
        <w:t>, 1733-1736</w:t>
      </w:r>
      <w:r w:rsidR="001D70E1">
        <w:t>.</w:t>
      </w:r>
    </w:p>
    <w:p w14:paraId="428916B9" w14:textId="01037CB6" w:rsidR="00D16664" w:rsidRDefault="00D16664" w:rsidP="006167FA">
      <w:pPr>
        <w:pStyle w:val="Reference"/>
      </w:pPr>
      <w:r>
        <w:t>HM Treasury</w:t>
      </w:r>
      <w:r w:rsidR="00EA4E26">
        <w:t>,</w:t>
      </w:r>
      <w:r>
        <w:t xml:space="preserve"> </w:t>
      </w:r>
      <w:r w:rsidRPr="006F3E79">
        <w:rPr>
          <w:rStyle w:val="Emphasis"/>
          <w:i w:val="0"/>
          <w:iCs w:val="0"/>
        </w:rPr>
        <w:t>The Green Book: Central Government Guidance on Appraisal and Evaluation</w:t>
      </w:r>
      <w:r w:rsidR="00E978C1">
        <w:t>,</w:t>
      </w:r>
      <w:r>
        <w:t xml:space="preserve"> HM Treasury, </w:t>
      </w:r>
      <w:r w:rsidR="008A1235">
        <w:t>(</w:t>
      </w:r>
      <w:r>
        <w:t>2022</w:t>
      </w:r>
      <w:r w:rsidR="008A1235">
        <w:t>)</w:t>
      </w:r>
      <w:r>
        <w:t>.</w:t>
      </w:r>
    </w:p>
    <w:p w14:paraId="26F2478B" w14:textId="2C433482" w:rsidR="009924C9" w:rsidRDefault="009924C9" w:rsidP="000644B4">
      <w:pPr>
        <w:pStyle w:val="Reference"/>
        <w:rPr>
          <w:lang w:val="en-CA"/>
        </w:rPr>
      </w:pPr>
      <w:r>
        <w:t xml:space="preserve">World Bank, State and Trends of Carbon Pricing 2023, </w:t>
      </w:r>
      <w:r w:rsidRPr="00587CEE">
        <w:rPr>
          <w:i/>
          <w:iCs/>
        </w:rPr>
        <w:t>Report</w:t>
      </w:r>
      <w:r>
        <w:t>, World Bank Group, Washington, DC, USA (2023).</w:t>
      </w:r>
    </w:p>
    <w:p w14:paraId="542B8C5C" w14:textId="420ADB44" w:rsidR="00A27AB6" w:rsidRDefault="00A27AB6" w:rsidP="000644B4">
      <w:pPr>
        <w:pStyle w:val="Reference"/>
        <w:rPr>
          <w:lang w:val="en-CA"/>
        </w:rPr>
      </w:pPr>
      <w:r>
        <w:t xml:space="preserve">Bird, Lori, and Jenny Sumner. </w:t>
      </w:r>
      <w:r w:rsidRPr="00587CEE">
        <w:rPr>
          <w:rStyle w:val="Emphasis"/>
          <w:i w:val="0"/>
          <w:iCs w:val="0"/>
        </w:rPr>
        <w:t>Using Renewable Energy Purchases to Achieve Institutional Carbon Goals: A Review of Current Practices and Considerations</w:t>
      </w:r>
      <w:r>
        <w:rPr>
          <w:rStyle w:val="Emphasis"/>
        </w:rPr>
        <w:t>.</w:t>
      </w:r>
      <w:r>
        <w:t xml:space="preserve"> </w:t>
      </w:r>
      <w:r w:rsidRPr="00587CEE">
        <w:rPr>
          <w:i/>
          <w:iCs/>
        </w:rPr>
        <w:t>Technical Report NREL/TP-6A20-49938</w:t>
      </w:r>
      <w:r>
        <w:t>, National Renewable Energy Laboratory, Golden, CO, USA (2011).</w:t>
      </w:r>
    </w:p>
    <w:p w14:paraId="2D853778" w14:textId="4DDA8BA1" w:rsidR="000644B4" w:rsidRDefault="000644B4" w:rsidP="000644B4">
      <w:pPr>
        <w:pStyle w:val="Reference"/>
        <w:rPr>
          <w:lang w:val="en-CA"/>
        </w:rPr>
      </w:pPr>
      <w:proofErr w:type="spellStart"/>
      <w:r w:rsidRPr="000644B4">
        <w:rPr>
          <w:lang w:val="en-CA"/>
        </w:rPr>
        <w:t>Bierkens</w:t>
      </w:r>
      <w:proofErr w:type="spellEnd"/>
      <w:r w:rsidRPr="000644B4">
        <w:rPr>
          <w:lang w:val="en-CA"/>
        </w:rPr>
        <w:t>, M. F. P</w:t>
      </w:r>
      <w:r w:rsidR="008A153C">
        <w:rPr>
          <w:lang w:val="en-CA"/>
        </w:rPr>
        <w:t>. et al.,</w:t>
      </w:r>
      <w:r w:rsidRPr="000644B4">
        <w:rPr>
          <w:lang w:val="en-CA"/>
        </w:rPr>
        <w:t xml:space="preserve"> The Shadow Price of Irrigation Water in Major Groundwater-Depleting Countries. </w:t>
      </w:r>
      <w:r w:rsidRPr="007B4FFC">
        <w:rPr>
          <w:i/>
          <w:iCs/>
          <w:lang w:val="en-CA"/>
        </w:rPr>
        <w:t>Water Resources Research</w:t>
      </w:r>
      <w:r w:rsidRPr="000644B4">
        <w:rPr>
          <w:lang w:val="en-CA"/>
        </w:rPr>
        <w:t>, 55,</w:t>
      </w:r>
      <w:r w:rsidR="008A1235">
        <w:rPr>
          <w:lang w:val="en-CA"/>
        </w:rPr>
        <w:t xml:space="preserve"> (</w:t>
      </w:r>
      <w:r w:rsidRPr="000644B4">
        <w:rPr>
          <w:lang w:val="en-CA"/>
        </w:rPr>
        <w:t>2019</w:t>
      </w:r>
      <w:r w:rsidR="008A1235">
        <w:rPr>
          <w:lang w:val="en-CA"/>
        </w:rPr>
        <w:t>)</w:t>
      </w:r>
      <w:r w:rsidRPr="000644B4">
        <w:rPr>
          <w:lang w:val="en-CA"/>
        </w:rPr>
        <w:t>, 4266-4287.</w:t>
      </w:r>
    </w:p>
    <w:p w14:paraId="3DAD4A5B" w14:textId="105BE2B4" w:rsidR="00CB2155" w:rsidRDefault="0082758D" w:rsidP="0086567A">
      <w:pPr>
        <w:pStyle w:val="Reference"/>
        <w:rPr>
          <w:lang w:val="en-CA"/>
        </w:rPr>
      </w:pPr>
      <w:r w:rsidRPr="0082758D">
        <w:rPr>
          <w:lang w:val="en-CA"/>
        </w:rPr>
        <w:t>Almena</w:t>
      </w:r>
      <w:r>
        <w:rPr>
          <w:lang w:val="en-CA"/>
        </w:rPr>
        <w:t>, A.</w:t>
      </w:r>
      <w:r w:rsidRPr="0082758D">
        <w:rPr>
          <w:lang w:val="en-CA"/>
        </w:rPr>
        <w:t xml:space="preserve">, </w:t>
      </w:r>
      <w:proofErr w:type="spellStart"/>
      <w:r w:rsidRPr="0082758D">
        <w:rPr>
          <w:lang w:val="en-CA"/>
        </w:rPr>
        <w:t>Pashakolaie</w:t>
      </w:r>
      <w:proofErr w:type="spellEnd"/>
      <w:r>
        <w:rPr>
          <w:lang w:val="en-CA"/>
        </w:rPr>
        <w:t>, V.G.</w:t>
      </w:r>
      <w:r w:rsidRPr="0082758D">
        <w:rPr>
          <w:lang w:val="en-CA"/>
        </w:rPr>
        <w:t>, Martin</w:t>
      </w:r>
      <w:r>
        <w:rPr>
          <w:lang w:val="en-CA"/>
        </w:rPr>
        <w:t>, M.</w:t>
      </w:r>
      <w:r w:rsidRPr="0082758D">
        <w:rPr>
          <w:lang w:val="en-CA"/>
        </w:rPr>
        <w:t>,</w:t>
      </w:r>
      <w:r w:rsidR="005D1818">
        <w:rPr>
          <w:lang w:val="en-CA"/>
        </w:rPr>
        <w:t xml:space="preserve"> </w:t>
      </w:r>
      <w:r w:rsidR="00CB2155" w:rsidRPr="00CB2155">
        <w:rPr>
          <w:lang w:val="en-CA"/>
        </w:rPr>
        <w:t>Unlocking BECCS viability through monetizing societal benefits by techno-socio-economic assessment,</w:t>
      </w:r>
      <w:r>
        <w:rPr>
          <w:lang w:val="en-CA"/>
        </w:rPr>
        <w:t xml:space="preserve"> </w:t>
      </w:r>
      <w:r w:rsidR="00CB2155" w:rsidRPr="007B4FFC">
        <w:rPr>
          <w:i/>
          <w:iCs/>
          <w:lang w:val="en-CA"/>
        </w:rPr>
        <w:t>Sustainable Production and Consumption</w:t>
      </w:r>
      <w:r w:rsidR="0086567A">
        <w:rPr>
          <w:lang w:val="en-CA"/>
        </w:rPr>
        <w:t>,</w:t>
      </w:r>
      <w:r w:rsidR="00CB2155" w:rsidRPr="00CB2155">
        <w:rPr>
          <w:lang w:val="en-CA"/>
        </w:rPr>
        <w:t xml:space="preserve"> 59,</w:t>
      </w:r>
      <w:r w:rsidR="0086567A">
        <w:rPr>
          <w:lang w:val="en-CA"/>
        </w:rPr>
        <w:t xml:space="preserve"> </w:t>
      </w:r>
      <w:r w:rsidR="008A1235">
        <w:rPr>
          <w:lang w:val="en-CA"/>
        </w:rPr>
        <w:t>(</w:t>
      </w:r>
      <w:r w:rsidR="00CB2155" w:rsidRPr="00CB2155">
        <w:rPr>
          <w:lang w:val="en-CA"/>
        </w:rPr>
        <w:t>2025</w:t>
      </w:r>
      <w:r w:rsidR="008A1235">
        <w:rPr>
          <w:lang w:val="en-CA"/>
        </w:rPr>
        <w:t>)</w:t>
      </w:r>
      <w:r w:rsidR="00CB2155" w:rsidRPr="00CB2155">
        <w:rPr>
          <w:lang w:val="en-CA"/>
        </w:rPr>
        <w:t>,</w:t>
      </w:r>
      <w:r w:rsidR="0086567A">
        <w:rPr>
          <w:lang w:val="en-CA"/>
        </w:rPr>
        <w:t xml:space="preserve"> </w:t>
      </w:r>
      <w:r w:rsidR="00CB2155" w:rsidRPr="00CB2155">
        <w:rPr>
          <w:lang w:val="en-CA"/>
        </w:rPr>
        <w:t>255-273</w:t>
      </w:r>
      <w:r w:rsidR="0086567A">
        <w:rPr>
          <w:lang w:val="en-CA"/>
        </w:rPr>
        <w:t>.</w:t>
      </w:r>
    </w:p>
    <w:p w14:paraId="4988689E" w14:textId="467C7D5A" w:rsidR="003A0143" w:rsidRDefault="003A0143" w:rsidP="0086567A">
      <w:pPr>
        <w:pStyle w:val="Reference"/>
      </w:pPr>
      <w:r w:rsidRPr="003A0143">
        <w:t xml:space="preserve">International Carbon Action Partnership (ICAP), USA – California Cap-and-Trade Program, </w:t>
      </w:r>
      <w:r w:rsidR="00BF473C" w:rsidRPr="00587CEE">
        <w:rPr>
          <w:i/>
          <w:iCs/>
        </w:rPr>
        <w:t>Report</w:t>
      </w:r>
      <w:r w:rsidR="00BF473C">
        <w:t xml:space="preserve">, </w:t>
      </w:r>
      <w:r w:rsidRPr="003A0143">
        <w:t>ICAP (202</w:t>
      </w:r>
      <w:r w:rsidR="00BF473C">
        <w:t>4</w:t>
      </w:r>
      <w:r w:rsidRPr="003A0143">
        <w:t xml:space="preserve">). </w:t>
      </w:r>
    </w:p>
    <w:p w14:paraId="0B0C28A9" w14:textId="5AAA122F" w:rsidR="00F54150" w:rsidRDefault="00F54150" w:rsidP="0086567A">
      <w:pPr>
        <w:pStyle w:val="Reference"/>
        <w:rPr>
          <w:lang w:val="en-CA"/>
        </w:rPr>
      </w:pPr>
      <w:r>
        <w:t xml:space="preserve">Valley Clean Energy Alliance, Renewable Energy Credit Optimization, </w:t>
      </w:r>
      <w:r>
        <w:rPr>
          <w:rStyle w:val="Emphasis"/>
        </w:rPr>
        <w:t>Staff Report</w:t>
      </w:r>
      <w:r>
        <w:t>, Valley Clean Energy Alliance, Woodland, CA, USA (2024).</w:t>
      </w:r>
    </w:p>
    <w:p w14:paraId="4361DD6D" w14:textId="3EBC1B83" w:rsidR="00140157" w:rsidRDefault="00140157" w:rsidP="0086567A">
      <w:pPr>
        <w:pStyle w:val="Reference"/>
      </w:pPr>
      <w:r w:rsidRPr="00140157">
        <w:t xml:space="preserve">GEA, </w:t>
      </w:r>
      <w:r w:rsidR="00F02E35" w:rsidRPr="00F02E35">
        <w:t>Geothermal Energy Association Issue Brief: Additional Economic Values of Geothermal Power</w:t>
      </w:r>
      <w:r w:rsidRPr="00140157">
        <w:t xml:space="preserve">, </w:t>
      </w:r>
      <w:r w:rsidRPr="00587CEE">
        <w:rPr>
          <w:i/>
          <w:iCs/>
        </w:rPr>
        <w:t>Report</w:t>
      </w:r>
      <w:r w:rsidRPr="00140157">
        <w:t>, Geothermal Energy Association, Washington, DC, USA (2015).</w:t>
      </w:r>
    </w:p>
    <w:p w14:paraId="6DC7BEC1" w14:textId="362A08E6" w:rsidR="006746C6" w:rsidRDefault="006746C6" w:rsidP="0086567A">
      <w:pPr>
        <w:pStyle w:val="Reference"/>
      </w:pPr>
      <w:r w:rsidRPr="006746C6">
        <w:t xml:space="preserve">U.S. Energy Information Administration (EIA), </w:t>
      </w:r>
      <w:r w:rsidRPr="00587CEE">
        <w:t xml:space="preserve">How much carbon dioxide is produced per </w:t>
      </w:r>
      <w:proofErr w:type="spellStart"/>
      <w:r w:rsidRPr="00587CEE">
        <w:t>kilowatthour</w:t>
      </w:r>
      <w:proofErr w:type="spellEnd"/>
      <w:r w:rsidRPr="00587CEE">
        <w:t xml:space="preserve"> of U.S. electricity generation?</w:t>
      </w:r>
      <w:r w:rsidRPr="006746C6">
        <w:t xml:space="preserve"> </w:t>
      </w:r>
      <w:r w:rsidRPr="00587CEE">
        <w:rPr>
          <w:i/>
          <w:iCs/>
        </w:rPr>
        <w:t>FAQ</w:t>
      </w:r>
      <w:r w:rsidRPr="006746C6">
        <w:t>, EIA, Washington, DC, USA (</w:t>
      </w:r>
      <w:r>
        <w:t>updated</w:t>
      </w:r>
      <w:r w:rsidRPr="006746C6">
        <w:t xml:space="preserve"> 202</w:t>
      </w:r>
      <w:r>
        <w:t>4</w:t>
      </w:r>
      <w:r w:rsidRPr="006746C6">
        <w:t>).</w:t>
      </w:r>
    </w:p>
    <w:p w14:paraId="42665428" w14:textId="5D82AB5E" w:rsidR="006746C6" w:rsidRDefault="006746C6" w:rsidP="0086567A">
      <w:pPr>
        <w:pStyle w:val="Reference"/>
      </w:pPr>
      <w:r>
        <w:t xml:space="preserve">U.S. Energy Information Administration, </w:t>
      </w:r>
      <w:r w:rsidRPr="00587CEE">
        <w:rPr>
          <w:rStyle w:val="Emphasis"/>
          <w:i w:val="0"/>
          <w:iCs w:val="0"/>
        </w:rPr>
        <w:t>U.S. electric power sector continues water efficiency gains</w:t>
      </w:r>
      <w:r>
        <w:t xml:space="preserve">, </w:t>
      </w:r>
      <w:r w:rsidRPr="00587CEE">
        <w:rPr>
          <w:i/>
          <w:iCs/>
        </w:rPr>
        <w:t>Today in Energy</w:t>
      </w:r>
      <w:r>
        <w:t>, EIA, Washington, DC, USA. (2023).</w:t>
      </w:r>
    </w:p>
    <w:p w14:paraId="16E28634" w14:textId="13B6BA12" w:rsidR="005F07FA" w:rsidRDefault="005F07FA" w:rsidP="0086567A">
      <w:pPr>
        <w:pStyle w:val="Reference"/>
        <w:rPr>
          <w:lang w:val="en-CA"/>
        </w:rPr>
      </w:pPr>
      <w:r w:rsidRPr="005F07FA">
        <w:t xml:space="preserve">World Bank, </w:t>
      </w:r>
      <w:r w:rsidRPr="00587CEE">
        <w:t>Discounting Costs and Benefits in Economic Analysis of World Bank Projects</w:t>
      </w:r>
      <w:r w:rsidRPr="005F07FA">
        <w:t xml:space="preserve">, </w:t>
      </w:r>
      <w:r w:rsidRPr="00587CEE">
        <w:rPr>
          <w:i/>
          <w:iCs/>
        </w:rPr>
        <w:t>Report</w:t>
      </w:r>
      <w:r w:rsidRPr="005F07FA">
        <w:t>, World Bank, Washington, DC, USA (2016).</w:t>
      </w:r>
    </w:p>
    <w:p w14:paraId="0310FE5D" w14:textId="02776C94" w:rsidR="008D168D" w:rsidRDefault="00581E1B" w:rsidP="0086567A">
      <w:pPr>
        <w:pStyle w:val="Reference"/>
        <w:rPr>
          <w:lang w:val="en-CA"/>
        </w:rPr>
      </w:pPr>
      <w:r w:rsidRPr="00581E1B">
        <w:t xml:space="preserve">Toews, M. and Holmes, M. </w:t>
      </w:r>
      <w:proofErr w:type="spellStart"/>
      <w:r w:rsidRPr="00581E1B">
        <w:t>Eavor</w:t>
      </w:r>
      <w:proofErr w:type="spellEnd"/>
      <w:r w:rsidRPr="00581E1B">
        <w:t>-Lite Performance Update and Extrapolation to Commercial Projects.</w:t>
      </w:r>
      <w:r w:rsidR="008A1235">
        <w:t xml:space="preserve"> </w:t>
      </w:r>
      <w:r w:rsidRPr="00920AE6">
        <w:rPr>
          <w:i/>
          <w:iCs/>
        </w:rPr>
        <w:t>GRC Transactions</w:t>
      </w:r>
      <w:r w:rsidRPr="00581E1B">
        <w:t xml:space="preserve">, 45, </w:t>
      </w:r>
      <w:r w:rsidR="008A1235">
        <w:t xml:space="preserve">(2021) </w:t>
      </w:r>
      <w:r w:rsidRPr="00581E1B">
        <w:t>86-109.</w:t>
      </w:r>
    </w:p>
    <w:p w14:paraId="5E381C7C" w14:textId="4AC0954D" w:rsidR="008D168D" w:rsidRDefault="007B4512" w:rsidP="007B4512">
      <w:pPr>
        <w:pStyle w:val="Reference"/>
        <w:rPr>
          <w:lang w:val="en-CA"/>
        </w:rPr>
      </w:pPr>
      <w:r w:rsidRPr="007B4512">
        <w:rPr>
          <w:lang w:val="en-CA"/>
        </w:rPr>
        <w:t>Schlumberger: Improving the Economics of Geothermal Development Through an Oil and Gas Industry Approach,</w:t>
      </w:r>
      <w:r>
        <w:rPr>
          <w:lang w:val="en-CA"/>
        </w:rPr>
        <w:t xml:space="preserve"> </w:t>
      </w:r>
      <w:r w:rsidRPr="00920AE6">
        <w:rPr>
          <w:i/>
          <w:iCs/>
          <w:lang w:val="en-CA"/>
        </w:rPr>
        <w:t>Industry Report</w:t>
      </w:r>
      <w:r w:rsidRPr="007B4512">
        <w:rPr>
          <w:lang w:val="en-CA"/>
        </w:rPr>
        <w:t>, Schlumberger, USA (2013).</w:t>
      </w:r>
    </w:p>
    <w:p w14:paraId="6E5741CA" w14:textId="1CCB3742" w:rsidR="00083BD2" w:rsidRPr="00083BD2" w:rsidRDefault="00751430" w:rsidP="00083BD2">
      <w:pPr>
        <w:pStyle w:val="Reference"/>
        <w:rPr>
          <w:lang w:val="en-CA"/>
        </w:rPr>
      </w:pPr>
      <w:r>
        <w:t>Agerton et al.</w:t>
      </w:r>
      <w:r w:rsidRPr="000C6FC7">
        <w:rPr>
          <w:i/>
          <w:iCs/>
        </w:rPr>
        <w:t xml:space="preserve">, </w:t>
      </w:r>
      <w:r w:rsidRPr="00083BD2">
        <w:t>Employment Impacts of Upstream Oil and Gas Investment in the United States</w:t>
      </w:r>
      <w:r>
        <w:t>.</w:t>
      </w:r>
      <w:r w:rsidR="00083BD2" w:rsidRPr="00083BD2">
        <w:rPr>
          <w:rFonts w:ascii="Times New Roman" w:hAnsi="Times New Roman"/>
          <w:szCs w:val="24"/>
          <w:lang w:val="en-CA"/>
        </w:rPr>
        <w:t xml:space="preserve"> </w:t>
      </w:r>
      <w:r w:rsidR="00083BD2" w:rsidRPr="008A153C">
        <w:rPr>
          <w:i/>
          <w:iCs/>
          <w:lang w:val="en-CA"/>
        </w:rPr>
        <w:t>Energy Economics</w:t>
      </w:r>
      <w:r w:rsidR="00083BD2" w:rsidRPr="00083BD2">
        <w:rPr>
          <w:lang w:val="en-CA"/>
        </w:rPr>
        <w:t>,</w:t>
      </w:r>
      <w:r w:rsidR="00083BD2">
        <w:rPr>
          <w:lang w:val="en-CA"/>
        </w:rPr>
        <w:t xml:space="preserve"> </w:t>
      </w:r>
      <w:r w:rsidR="00083BD2" w:rsidRPr="00083BD2">
        <w:rPr>
          <w:lang w:val="en-CA"/>
        </w:rPr>
        <w:t>62,</w:t>
      </w:r>
      <w:r w:rsidR="00083BD2">
        <w:rPr>
          <w:lang w:val="en-CA"/>
        </w:rPr>
        <w:t xml:space="preserve"> (2017), </w:t>
      </w:r>
      <w:r w:rsidR="00083BD2" w:rsidRPr="00083BD2">
        <w:rPr>
          <w:lang w:val="en-CA"/>
        </w:rPr>
        <w:t>171-180</w:t>
      </w:r>
      <w:r w:rsidR="00083BD2">
        <w:rPr>
          <w:lang w:val="en-CA"/>
        </w:rPr>
        <w:t>.</w:t>
      </w:r>
    </w:p>
    <w:p w14:paraId="6F6A914D" w14:textId="7837B77A" w:rsidR="008D168D" w:rsidRPr="000644B4" w:rsidRDefault="005B09B5" w:rsidP="0086567A">
      <w:pPr>
        <w:pStyle w:val="Reference"/>
        <w:rPr>
          <w:lang w:val="en-CA"/>
        </w:rPr>
      </w:pPr>
      <w:r w:rsidRPr="005B09B5">
        <w:rPr>
          <w:lang w:val="en-CA"/>
        </w:rPr>
        <w:t>Sunding, D., and Browne, O.</w:t>
      </w:r>
      <w:r>
        <w:rPr>
          <w:lang w:val="en-CA"/>
        </w:rPr>
        <w:t>,</w:t>
      </w:r>
      <w:r w:rsidRPr="005B09B5">
        <w:rPr>
          <w:lang w:val="en-CA"/>
        </w:rPr>
        <w:t xml:space="preserve"> Benefit-Cost Analysis of the Delta Conveyance Project, </w:t>
      </w:r>
      <w:r w:rsidRPr="005B09B5">
        <w:rPr>
          <w:i/>
          <w:iCs/>
          <w:lang w:val="en-CA"/>
        </w:rPr>
        <w:t>Report prepared for the California Department of Water Resources</w:t>
      </w:r>
      <w:r w:rsidRPr="005B09B5">
        <w:rPr>
          <w:lang w:val="en-CA"/>
        </w:rPr>
        <w:t>, Berkeley Research Group, USA (2024)</w:t>
      </w:r>
      <w:r>
        <w:rPr>
          <w:lang w:val="en-CA"/>
        </w:rPr>
        <w:t>.</w:t>
      </w:r>
    </w:p>
    <w:p w14:paraId="532ECE0F" w14:textId="77777777" w:rsidR="00925647" w:rsidRPr="00925647" w:rsidRDefault="00925647" w:rsidP="008A153C">
      <w:pPr>
        <w:pStyle w:val="Reference"/>
        <w:ind w:left="0" w:firstLine="0"/>
      </w:pPr>
    </w:p>
    <w:sectPr w:rsidR="00925647" w:rsidRPr="00925647" w:rsidSect="006167FA">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138" w:right="1195" w:bottom="1138" w:left="1195" w:header="720" w:footer="720" w:gutter="0"/>
      <w:cols w:space="83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646C" w14:textId="77777777" w:rsidR="004109EA" w:rsidRDefault="004109EA">
      <w:r>
        <w:separator/>
      </w:r>
    </w:p>
  </w:endnote>
  <w:endnote w:type="continuationSeparator" w:id="0">
    <w:p w14:paraId="6E918114" w14:textId="77777777" w:rsidR="004109EA" w:rsidRDefault="00410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004BF" w14:textId="77777777" w:rsidR="004655D5" w:rsidRDefault="004655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5377">
      <w:rPr>
        <w:rStyle w:val="PageNumber"/>
        <w:noProof/>
      </w:rPr>
      <w:t>2</w:t>
    </w:r>
    <w:r>
      <w:rPr>
        <w:rStyle w:val="PageNumber"/>
      </w:rPr>
      <w:fldChar w:fldCharType="end"/>
    </w:r>
  </w:p>
  <w:p w14:paraId="2EC2E057" w14:textId="77777777" w:rsidR="004655D5" w:rsidRDefault="00465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7C37" w14:textId="77777777" w:rsidR="004655D5" w:rsidRDefault="004655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0D94ADC" w14:textId="77777777" w:rsidR="004655D5" w:rsidRDefault="004655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5475" w14:textId="77777777" w:rsidR="004655D5" w:rsidRDefault="004655D5">
    <w:pPr>
      <w:pStyle w:val="Footer"/>
      <w:jc w:val="center"/>
    </w:pPr>
    <w:r>
      <w:rPr>
        <w:rStyle w:val="PageNumber"/>
      </w:rPr>
      <w:fldChar w:fldCharType="begin"/>
    </w:r>
    <w:r>
      <w:rPr>
        <w:rStyle w:val="PageNumber"/>
      </w:rPr>
      <w:instrText xml:space="preserve"> PAGE </w:instrText>
    </w:r>
    <w:r>
      <w:rPr>
        <w:rStyle w:val="PageNumber"/>
      </w:rPr>
      <w:fldChar w:fldCharType="separate"/>
    </w:r>
    <w:r w:rsidR="00435377">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2D16D" w14:textId="77777777" w:rsidR="004109EA" w:rsidRDefault="004109EA">
      <w:r>
        <w:separator/>
      </w:r>
    </w:p>
  </w:footnote>
  <w:footnote w:type="continuationSeparator" w:id="0">
    <w:p w14:paraId="44CA9CCE" w14:textId="77777777" w:rsidR="004109EA" w:rsidRDefault="00410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7794" w14:textId="7E969C7F" w:rsidR="00F13B41" w:rsidRDefault="00EB3D24">
    <w:pPr>
      <w:pStyle w:val="Header"/>
    </w:pPr>
    <w:r>
      <w:t>Miguens</w:t>
    </w:r>
    <w:r w:rsidR="00F13B41">
      <w:t xml:space="preserve">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D78D" w14:textId="7623080A" w:rsidR="004655D5" w:rsidRPr="00F13B41" w:rsidRDefault="00F13B41">
    <w:pPr>
      <w:pStyle w:val="Header"/>
      <w:jc w:val="right"/>
      <w:rPr>
        <w:lang w:val="en-CA"/>
      </w:rPr>
    </w:pPr>
    <w:r>
      <w:rPr>
        <w:lang w:val="en-CA"/>
      </w:rPr>
      <w:t>Miguens et 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37CB" w14:textId="73A43FAB" w:rsidR="004655D5" w:rsidRDefault="004655D5">
    <w:pPr>
      <w:pStyle w:val="Header"/>
      <w:spacing w:after="0"/>
    </w:pPr>
    <w:r>
      <w:t>Proceedings World Geothermal Congress 2</w:t>
    </w:r>
    <w:r w:rsidR="00435377">
      <w:t>02</w:t>
    </w:r>
    <w:r w:rsidR="00810309">
      <w:t>6</w:t>
    </w:r>
    <w:r>
      <w:t xml:space="preserve"> </w:t>
    </w:r>
  </w:p>
  <w:p w14:paraId="62CC387E" w14:textId="3EBBEF56" w:rsidR="004655D5" w:rsidRDefault="00810309">
    <w:pPr>
      <w:pStyle w:val="Header"/>
    </w:pPr>
    <w:r>
      <w:t>Calgary</w:t>
    </w:r>
    <w:r w:rsidR="004655D5">
      <w:t xml:space="preserve">, </w:t>
    </w:r>
    <w:r w:rsidR="00E97D19">
      <w:t>C</w:t>
    </w:r>
    <w:r>
      <w:t>anada</w:t>
    </w:r>
    <w:r w:rsidR="004655D5">
      <w:t xml:space="preserve">, </w:t>
    </w:r>
    <w:r>
      <w:t>June</w:t>
    </w:r>
    <w:r w:rsidR="00435377">
      <w:t xml:space="preserve"> </w:t>
    </w:r>
    <w:r>
      <w:t>8</w:t>
    </w:r>
    <w:r w:rsidR="00435377">
      <w:t xml:space="preserve"> – </w:t>
    </w:r>
    <w:r>
      <w:t>1</w:t>
    </w:r>
    <w:r w:rsidR="00D52213">
      <w:t>1</w:t>
    </w:r>
    <w:r w:rsidR="00435377">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A3887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84688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E6F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DF49C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069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26778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DB0CF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28AE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D5643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36BD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63E95"/>
    <w:multiLevelType w:val="hybridMultilevel"/>
    <w:tmpl w:val="2F900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5F755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6740408"/>
    <w:multiLevelType w:val="multilevel"/>
    <w:tmpl w:val="26AACD62"/>
    <w:numStyleLink w:val="BulletList"/>
  </w:abstractNum>
  <w:abstractNum w:abstractNumId="13" w15:restartNumberingAfterBreak="0">
    <w:nsid w:val="16D22E4E"/>
    <w:multiLevelType w:val="hybridMultilevel"/>
    <w:tmpl w:val="68B42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F2152F"/>
    <w:multiLevelType w:val="singleLevel"/>
    <w:tmpl w:val="7D4A09A8"/>
    <w:lvl w:ilvl="0">
      <w:start w:val="1"/>
      <w:numFmt w:val="bullet"/>
      <w:pStyle w:val="ListBullets"/>
      <w:lvlText w:val=""/>
      <w:lvlJc w:val="left"/>
      <w:pPr>
        <w:ind w:left="360" w:hanging="360"/>
      </w:pPr>
      <w:rPr>
        <w:rFonts w:ascii="Symbol" w:hAnsi="Symbol" w:hint="default"/>
      </w:rPr>
    </w:lvl>
  </w:abstractNum>
  <w:abstractNum w:abstractNumId="15" w15:restartNumberingAfterBreak="0">
    <w:nsid w:val="1CFA6642"/>
    <w:multiLevelType w:val="hybridMultilevel"/>
    <w:tmpl w:val="A3F8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B6246A"/>
    <w:multiLevelType w:val="singleLevel"/>
    <w:tmpl w:val="AC3E3388"/>
    <w:lvl w:ilvl="0">
      <w:start w:val="1"/>
      <w:numFmt w:val="decimal"/>
      <w:pStyle w:val="References"/>
      <w:lvlText w:val="%1."/>
      <w:lvlJc w:val="left"/>
      <w:pPr>
        <w:tabs>
          <w:tab w:val="num" w:pos="360"/>
        </w:tabs>
        <w:ind w:left="360" w:hanging="360"/>
      </w:pPr>
    </w:lvl>
  </w:abstractNum>
  <w:abstractNum w:abstractNumId="17" w15:restartNumberingAfterBreak="0">
    <w:nsid w:val="284046ED"/>
    <w:multiLevelType w:val="multilevel"/>
    <w:tmpl w:val="2F845F98"/>
    <w:styleLink w:val="BulletList1"/>
    <w:lvl w:ilvl="0">
      <w:start w:val="1"/>
      <w:numFmt w:val="bullet"/>
      <w:lvlText w:val=""/>
      <w:lvlJc w:val="left"/>
      <w:pPr>
        <w:ind w:left="357" w:hanging="357"/>
      </w:pPr>
      <w:rPr>
        <w:rFonts w:ascii="Symbol" w:hAnsi="Symbol"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8" w15:restartNumberingAfterBreak="0">
    <w:nsid w:val="32F80414"/>
    <w:multiLevelType w:val="hybridMultilevel"/>
    <w:tmpl w:val="31CA8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7D1757"/>
    <w:multiLevelType w:val="multilevel"/>
    <w:tmpl w:val="26AACD62"/>
    <w:styleLink w:val="BulletList"/>
    <w:lvl w:ilvl="0">
      <w:start w:val="1"/>
      <w:numFmt w:val="bullet"/>
      <w:lvlText w:val=""/>
      <w:lvlJc w:val="left"/>
      <w:pPr>
        <w:ind w:left="357" w:hanging="357"/>
      </w:pPr>
      <w:rPr>
        <w:rFonts w:ascii="Symbol" w:hAnsi="Symbol"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0" w15:restartNumberingAfterBreak="0">
    <w:nsid w:val="3D37243B"/>
    <w:multiLevelType w:val="hybridMultilevel"/>
    <w:tmpl w:val="2D22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9A4CAF"/>
    <w:multiLevelType w:val="hybridMultilevel"/>
    <w:tmpl w:val="47003BA8"/>
    <w:lvl w:ilvl="0" w:tplc="23AC014C">
      <w:start w:val="1"/>
      <w:numFmt w:val="decimal"/>
      <w:pStyle w:val="ListNumbers"/>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2" w15:restartNumberingAfterBreak="0">
    <w:nsid w:val="49994237"/>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0BB6DDF"/>
    <w:multiLevelType w:val="hybridMultilevel"/>
    <w:tmpl w:val="7D280F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0513DC"/>
    <w:multiLevelType w:val="hybridMultilevel"/>
    <w:tmpl w:val="46E8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2D6E3F"/>
    <w:multiLevelType w:val="multilevel"/>
    <w:tmpl w:val="B0CAA40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7EB73A9"/>
    <w:multiLevelType w:val="hybridMultilevel"/>
    <w:tmpl w:val="F1A4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814265"/>
    <w:multiLevelType w:val="hybridMultilevel"/>
    <w:tmpl w:val="D49CE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E97317"/>
    <w:multiLevelType w:val="hybridMultilevel"/>
    <w:tmpl w:val="F4BE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AA63B9"/>
    <w:multiLevelType w:val="hybridMultilevel"/>
    <w:tmpl w:val="0B726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5A508D"/>
    <w:multiLevelType w:val="multilevel"/>
    <w:tmpl w:val="9F7A7A5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7ADE5A33"/>
    <w:multiLevelType w:val="multilevel"/>
    <w:tmpl w:val="BE46257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012415827">
    <w:abstractNumId w:val="16"/>
  </w:num>
  <w:num w:numId="2" w16cid:durableId="512064832">
    <w:abstractNumId w:val="31"/>
  </w:num>
  <w:num w:numId="3" w16cid:durableId="495077769">
    <w:abstractNumId w:val="25"/>
  </w:num>
  <w:num w:numId="4" w16cid:durableId="674111486">
    <w:abstractNumId w:val="30"/>
  </w:num>
  <w:num w:numId="5" w16cid:durableId="1311866446">
    <w:abstractNumId w:val="22"/>
  </w:num>
  <w:num w:numId="6" w16cid:durableId="759721745">
    <w:abstractNumId w:val="19"/>
  </w:num>
  <w:num w:numId="7" w16cid:durableId="2000645654">
    <w:abstractNumId w:val="12"/>
  </w:num>
  <w:num w:numId="8" w16cid:durableId="1140154425">
    <w:abstractNumId w:val="17"/>
  </w:num>
  <w:num w:numId="9" w16cid:durableId="971399477">
    <w:abstractNumId w:val="14"/>
  </w:num>
  <w:num w:numId="10" w16cid:durableId="1992558395">
    <w:abstractNumId w:val="9"/>
  </w:num>
  <w:num w:numId="11" w16cid:durableId="1804276147">
    <w:abstractNumId w:val="8"/>
  </w:num>
  <w:num w:numId="12" w16cid:durableId="1313292569">
    <w:abstractNumId w:val="7"/>
  </w:num>
  <w:num w:numId="13" w16cid:durableId="210505794">
    <w:abstractNumId w:val="6"/>
  </w:num>
  <w:num w:numId="14" w16cid:durableId="910702637">
    <w:abstractNumId w:val="5"/>
  </w:num>
  <w:num w:numId="15" w16cid:durableId="2068990855">
    <w:abstractNumId w:val="4"/>
  </w:num>
  <w:num w:numId="16" w16cid:durableId="1643467160">
    <w:abstractNumId w:val="3"/>
  </w:num>
  <w:num w:numId="17" w16cid:durableId="1176774704">
    <w:abstractNumId w:val="2"/>
  </w:num>
  <w:num w:numId="18" w16cid:durableId="55863972">
    <w:abstractNumId w:val="1"/>
  </w:num>
  <w:num w:numId="19" w16cid:durableId="1067919103">
    <w:abstractNumId w:val="0"/>
  </w:num>
  <w:num w:numId="20" w16cid:durableId="1694064320">
    <w:abstractNumId w:val="11"/>
  </w:num>
  <w:num w:numId="21" w16cid:durableId="499271769">
    <w:abstractNumId w:val="21"/>
  </w:num>
  <w:num w:numId="22" w16cid:durableId="1651901904">
    <w:abstractNumId w:val="18"/>
  </w:num>
  <w:num w:numId="23" w16cid:durableId="23867624">
    <w:abstractNumId w:val="28"/>
  </w:num>
  <w:num w:numId="24" w16cid:durableId="374888993">
    <w:abstractNumId w:val="26"/>
  </w:num>
  <w:num w:numId="25" w16cid:durableId="445199916">
    <w:abstractNumId w:val="27"/>
  </w:num>
  <w:num w:numId="26" w16cid:durableId="1550998328">
    <w:abstractNumId w:val="20"/>
  </w:num>
  <w:num w:numId="27" w16cid:durableId="192303306">
    <w:abstractNumId w:val="13"/>
  </w:num>
  <w:num w:numId="28" w16cid:durableId="437602487">
    <w:abstractNumId w:val="24"/>
  </w:num>
  <w:num w:numId="29" w16cid:durableId="501359661">
    <w:abstractNumId w:val="15"/>
  </w:num>
  <w:num w:numId="30" w16cid:durableId="904951178">
    <w:abstractNumId w:val="29"/>
  </w:num>
  <w:num w:numId="31" w16cid:durableId="1928928317">
    <w:abstractNumId w:val="10"/>
  </w:num>
  <w:num w:numId="32" w16cid:durableId="10678468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309"/>
    <w:rsid w:val="000014AA"/>
    <w:rsid w:val="00001D05"/>
    <w:rsid w:val="000020CB"/>
    <w:rsid w:val="0000751F"/>
    <w:rsid w:val="00010737"/>
    <w:rsid w:val="0001303C"/>
    <w:rsid w:val="00013381"/>
    <w:rsid w:val="00014C8B"/>
    <w:rsid w:val="0002020C"/>
    <w:rsid w:val="00020683"/>
    <w:rsid w:val="000206C1"/>
    <w:rsid w:val="000224E7"/>
    <w:rsid w:val="00026AD1"/>
    <w:rsid w:val="00027DB9"/>
    <w:rsid w:val="0003000D"/>
    <w:rsid w:val="000311C9"/>
    <w:rsid w:val="00031BAF"/>
    <w:rsid w:val="00031D5E"/>
    <w:rsid w:val="00032CB1"/>
    <w:rsid w:val="00033B74"/>
    <w:rsid w:val="000340E1"/>
    <w:rsid w:val="00034B72"/>
    <w:rsid w:val="000351A7"/>
    <w:rsid w:val="0003571F"/>
    <w:rsid w:val="00035A22"/>
    <w:rsid w:val="00035C07"/>
    <w:rsid w:val="0003661A"/>
    <w:rsid w:val="00042695"/>
    <w:rsid w:val="00045F62"/>
    <w:rsid w:val="00053152"/>
    <w:rsid w:val="0005371F"/>
    <w:rsid w:val="00053AC5"/>
    <w:rsid w:val="00054096"/>
    <w:rsid w:val="00054987"/>
    <w:rsid w:val="000554D3"/>
    <w:rsid w:val="00057D94"/>
    <w:rsid w:val="00060681"/>
    <w:rsid w:val="00061E33"/>
    <w:rsid w:val="00062B68"/>
    <w:rsid w:val="00062CA7"/>
    <w:rsid w:val="00063025"/>
    <w:rsid w:val="00063837"/>
    <w:rsid w:val="00063B99"/>
    <w:rsid w:val="000644B4"/>
    <w:rsid w:val="00065C4D"/>
    <w:rsid w:val="00065CA3"/>
    <w:rsid w:val="00066595"/>
    <w:rsid w:val="00067A1A"/>
    <w:rsid w:val="00073C4F"/>
    <w:rsid w:val="00073D57"/>
    <w:rsid w:val="0007424E"/>
    <w:rsid w:val="000748DB"/>
    <w:rsid w:val="00075120"/>
    <w:rsid w:val="000804E0"/>
    <w:rsid w:val="000820EA"/>
    <w:rsid w:val="00082FD3"/>
    <w:rsid w:val="00083BD2"/>
    <w:rsid w:val="000859E0"/>
    <w:rsid w:val="00085B93"/>
    <w:rsid w:val="000865A9"/>
    <w:rsid w:val="00086652"/>
    <w:rsid w:val="00086C0A"/>
    <w:rsid w:val="00092A0D"/>
    <w:rsid w:val="00092A6A"/>
    <w:rsid w:val="0009325A"/>
    <w:rsid w:val="00095EAE"/>
    <w:rsid w:val="0009677C"/>
    <w:rsid w:val="00097786"/>
    <w:rsid w:val="00097CA5"/>
    <w:rsid w:val="000A0700"/>
    <w:rsid w:val="000A49C1"/>
    <w:rsid w:val="000A63C4"/>
    <w:rsid w:val="000A743A"/>
    <w:rsid w:val="000A7ED9"/>
    <w:rsid w:val="000B0B56"/>
    <w:rsid w:val="000B38A1"/>
    <w:rsid w:val="000B52EC"/>
    <w:rsid w:val="000B555D"/>
    <w:rsid w:val="000B6112"/>
    <w:rsid w:val="000B6EFB"/>
    <w:rsid w:val="000B6FA2"/>
    <w:rsid w:val="000B78C0"/>
    <w:rsid w:val="000C1FA4"/>
    <w:rsid w:val="000C2998"/>
    <w:rsid w:val="000C2BDF"/>
    <w:rsid w:val="000C2DF5"/>
    <w:rsid w:val="000C3606"/>
    <w:rsid w:val="000C5733"/>
    <w:rsid w:val="000C6650"/>
    <w:rsid w:val="000C6FC7"/>
    <w:rsid w:val="000D2566"/>
    <w:rsid w:val="000D2861"/>
    <w:rsid w:val="000D3A96"/>
    <w:rsid w:val="000D6373"/>
    <w:rsid w:val="000D7231"/>
    <w:rsid w:val="000E15D6"/>
    <w:rsid w:val="000E189F"/>
    <w:rsid w:val="000E194F"/>
    <w:rsid w:val="000E4233"/>
    <w:rsid w:val="000E4DF0"/>
    <w:rsid w:val="000E5842"/>
    <w:rsid w:val="000F033F"/>
    <w:rsid w:val="000F1F09"/>
    <w:rsid w:val="000F31D3"/>
    <w:rsid w:val="000F3F20"/>
    <w:rsid w:val="000F42EA"/>
    <w:rsid w:val="000F55E6"/>
    <w:rsid w:val="000F6115"/>
    <w:rsid w:val="000F69F8"/>
    <w:rsid w:val="000F702F"/>
    <w:rsid w:val="000F7E94"/>
    <w:rsid w:val="00101D43"/>
    <w:rsid w:val="00106A83"/>
    <w:rsid w:val="001075E8"/>
    <w:rsid w:val="001118BA"/>
    <w:rsid w:val="001122E3"/>
    <w:rsid w:val="00113B5A"/>
    <w:rsid w:val="00113DF2"/>
    <w:rsid w:val="00114A96"/>
    <w:rsid w:val="001153BC"/>
    <w:rsid w:val="00115D3F"/>
    <w:rsid w:val="00116388"/>
    <w:rsid w:val="00116486"/>
    <w:rsid w:val="0012076F"/>
    <w:rsid w:val="00121E58"/>
    <w:rsid w:val="00122429"/>
    <w:rsid w:val="00124F91"/>
    <w:rsid w:val="001301AC"/>
    <w:rsid w:val="00131B9B"/>
    <w:rsid w:val="00131E69"/>
    <w:rsid w:val="0013340D"/>
    <w:rsid w:val="001365E2"/>
    <w:rsid w:val="00136C8E"/>
    <w:rsid w:val="00140157"/>
    <w:rsid w:val="00140B65"/>
    <w:rsid w:val="001410C6"/>
    <w:rsid w:val="001416B7"/>
    <w:rsid w:val="00143E92"/>
    <w:rsid w:val="001454BA"/>
    <w:rsid w:val="00150B86"/>
    <w:rsid w:val="0015402E"/>
    <w:rsid w:val="001558D9"/>
    <w:rsid w:val="001561F2"/>
    <w:rsid w:val="00156F69"/>
    <w:rsid w:val="00161537"/>
    <w:rsid w:val="0016455D"/>
    <w:rsid w:val="0016489D"/>
    <w:rsid w:val="001648FD"/>
    <w:rsid w:val="00166CB4"/>
    <w:rsid w:val="0016794B"/>
    <w:rsid w:val="00171FD9"/>
    <w:rsid w:val="00172742"/>
    <w:rsid w:val="00173454"/>
    <w:rsid w:val="001749A4"/>
    <w:rsid w:val="0017595E"/>
    <w:rsid w:val="00175AA1"/>
    <w:rsid w:val="00180F8B"/>
    <w:rsid w:val="0018403A"/>
    <w:rsid w:val="00184DB7"/>
    <w:rsid w:val="00184DBB"/>
    <w:rsid w:val="0018522B"/>
    <w:rsid w:val="001862DD"/>
    <w:rsid w:val="001900E0"/>
    <w:rsid w:val="00191274"/>
    <w:rsid w:val="0019156A"/>
    <w:rsid w:val="00194412"/>
    <w:rsid w:val="001957AF"/>
    <w:rsid w:val="00197BBB"/>
    <w:rsid w:val="00197FC8"/>
    <w:rsid w:val="001A0846"/>
    <w:rsid w:val="001A11DE"/>
    <w:rsid w:val="001A2668"/>
    <w:rsid w:val="001A2D86"/>
    <w:rsid w:val="001A2F6D"/>
    <w:rsid w:val="001A37AF"/>
    <w:rsid w:val="001A4421"/>
    <w:rsid w:val="001A48A1"/>
    <w:rsid w:val="001A54EB"/>
    <w:rsid w:val="001A6F95"/>
    <w:rsid w:val="001B2359"/>
    <w:rsid w:val="001B4D37"/>
    <w:rsid w:val="001B4D5C"/>
    <w:rsid w:val="001B70D4"/>
    <w:rsid w:val="001C17ED"/>
    <w:rsid w:val="001C1B34"/>
    <w:rsid w:val="001C431C"/>
    <w:rsid w:val="001C6B53"/>
    <w:rsid w:val="001C76D0"/>
    <w:rsid w:val="001D045B"/>
    <w:rsid w:val="001D1370"/>
    <w:rsid w:val="001D1C9B"/>
    <w:rsid w:val="001D6E73"/>
    <w:rsid w:val="001D70E1"/>
    <w:rsid w:val="001E56C4"/>
    <w:rsid w:val="001E5865"/>
    <w:rsid w:val="001E6716"/>
    <w:rsid w:val="001E6F4F"/>
    <w:rsid w:val="001F2C12"/>
    <w:rsid w:val="001F3D84"/>
    <w:rsid w:val="001F578F"/>
    <w:rsid w:val="001F5CA8"/>
    <w:rsid w:val="001F709E"/>
    <w:rsid w:val="001F7814"/>
    <w:rsid w:val="0020126C"/>
    <w:rsid w:val="00201D82"/>
    <w:rsid w:val="00201EB6"/>
    <w:rsid w:val="00201F82"/>
    <w:rsid w:val="00201FE7"/>
    <w:rsid w:val="002027D1"/>
    <w:rsid w:val="0020297E"/>
    <w:rsid w:val="00205ED7"/>
    <w:rsid w:val="00207382"/>
    <w:rsid w:val="002073E9"/>
    <w:rsid w:val="00211A5D"/>
    <w:rsid w:val="00212E3B"/>
    <w:rsid w:val="00212E88"/>
    <w:rsid w:val="00213D15"/>
    <w:rsid w:val="002146E7"/>
    <w:rsid w:val="00214933"/>
    <w:rsid w:val="00214ED1"/>
    <w:rsid w:val="002152E2"/>
    <w:rsid w:val="0021619E"/>
    <w:rsid w:val="002165F7"/>
    <w:rsid w:val="002168B7"/>
    <w:rsid w:val="00217355"/>
    <w:rsid w:val="00224F03"/>
    <w:rsid w:val="002268F4"/>
    <w:rsid w:val="002275C0"/>
    <w:rsid w:val="00232777"/>
    <w:rsid w:val="00236677"/>
    <w:rsid w:val="00242F68"/>
    <w:rsid w:val="00243E8C"/>
    <w:rsid w:val="00245473"/>
    <w:rsid w:val="00251A45"/>
    <w:rsid w:val="00251D3F"/>
    <w:rsid w:val="00251F90"/>
    <w:rsid w:val="0025241D"/>
    <w:rsid w:val="00252541"/>
    <w:rsid w:val="0025391F"/>
    <w:rsid w:val="00253FC7"/>
    <w:rsid w:val="00254050"/>
    <w:rsid w:val="00255FDF"/>
    <w:rsid w:val="00260057"/>
    <w:rsid w:val="00260345"/>
    <w:rsid w:val="00261CA6"/>
    <w:rsid w:val="00263A50"/>
    <w:rsid w:val="0026416F"/>
    <w:rsid w:val="00264317"/>
    <w:rsid w:val="0026437B"/>
    <w:rsid w:val="0026534D"/>
    <w:rsid w:val="00266A86"/>
    <w:rsid w:val="0026778F"/>
    <w:rsid w:val="002678DF"/>
    <w:rsid w:val="00267F69"/>
    <w:rsid w:val="0027101B"/>
    <w:rsid w:val="00272876"/>
    <w:rsid w:val="002731BD"/>
    <w:rsid w:val="00274D15"/>
    <w:rsid w:val="00280683"/>
    <w:rsid w:val="00280D51"/>
    <w:rsid w:val="0028126B"/>
    <w:rsid w:val="00282F0C"/>
    <w:rsid w:val="00283CAC"/>
    <w:rsid w:val="00284B32"/>
    <w:rsid w:val="00285A48"/>
    <w:rsid w:val="00285FCB"/>
    <w:rsid w:val="0028605B"/>
    <w:rsid w:val="002866EF"/>
    <w:rsid w:val="00287595"/>
    <w:rsid w:val="00290E1D"/>
    <w:rsid w:val="00291247"/>
    <w:rsid w:val="002918A6"/>
    <w:rsid w:val="002919FA"/>
    <w:rsid w:val="00292B8E"/>
    <w:rsid w:val="00292E96"/>
    <w:rsid w:val="0029439D"/>
    <w:rsid w:val="00295A63"/>
    <w:rsid w:val="0029605E"/>
    <w:rsid w:val="00297AC3"/>
    <w:rsid w:val="002A0141"/>
    <w:rsid w:val="002A1C60"/>
    <w:rsid w:val="002A432E"/>
    <w:rsid w:val="002A4D69"/>
    <w:rsid w:val="002A6F39"/>
    <w:rsid w:val="002A766D"/>
    <w:rsid w:val="002B1ADF"/>
    <w:rsid w:val="002B25CB"/>
    <w:rsid w:val="002B25D7"/>
    <w:rsid w:val="002B6D23"/>
    <w:rsid w:val="002B790A"/>
    <w:rsid w:val="002B7A26"/>
    <w:rsid w:val="002B7F79"/>
    <w:rsid w:val="002C2C65"/>
    <w:rsid w:val="002C48EF"/>
    <w:rsid w:val="002C6CFE"/>
    <w:rsid w:val="002C78B6"/>
    <w:rsid w:val="002D0882"/>
    <w:rsid w:val="002D5157"/>
    <w:rsid w:val="002D6025"/>
    <w:rsid w:val="002D63BE"/>
    <w:rsid w:val="002D7B2B"/>
    <w:rsid w:val="002E0132"/>
    <w:rsid w:val="002E0497"/>
    <w:rsid w:val="002E3077"/>
    <w:rsid w:val="002E373E"/>
    <w:rsid w:val="002E3BE8"/>
    <w:rsid w:val="002E4714"/>
    <w:rsid w:val="002E71FA"/>
    <w:rsid w:val="002E792A"/>
    <w:rsid w:val="002F15CA"/>
    <w:rsid w:val="002F239C"/>
    <w:rsid w:val="002F2887"/>
    <w:rsid w:val="002F2ABA"/>
    <w:rsid w:val="002F7911"/>
    <w:rsid w:val="003013F4"/>
    <w:rsid w:val="00302E5F"/>
    <w:rsid w:val="00303527"/>
    <w:rsid w:val="003054A9"/>
    <w:rsid w:val="00306CC7"/>
    <w:rsid w:val="00307154"/>
    <w:rsid w:val="00307906"/>
    <w:rsid w:val="00312C4E"/>
    <w:rsid w:val="00312DD5"/>
    <w:rsid w:val="00316C66"/>
    <w:rsid w:val="0031730C"/>
    <w:rsid w:val="003173AF"/>
    <w:rsid w:val="00317F80"/>
    <w:rsid w:val="003209E0"/>
    <w:rsid w:val="00320FEB"/>
    <w:rsid w:val="00321EFD"/>
    <w:rsid w:val="00322896"/>
    <w:rsid w:val="0032455E"/>
    <w:rsid w:val="00324EB7"/>
    <w:rsid w:val="00325664"/>
    <w:rsid w:val="00326D06"/>
    <w:rsid w:val="00327260"/>
    <w:rsid w:val="00327B36"/>
    <w:rsid w:val="003319E5"/>
    <w:rsid w:val="00332A06"/>
    <w:rsid w:val="00333563"/>
    <w:rsid w:val="003335DA"/>
    <w:rsid w:val="00335012"/>
    <w:rsid w:val="00335574"/>
    <w:rsid w:val="003356AC"/>
    <w:rsid w:val="00337676"/>
    <w:rsid w:val="0034240E"/>
    <w:rsid w:val="0034273C"/>
    <w:rsid w:val="00343561"/>
    <w:rsid w:val="00344F94"/>
    <w:rsid w:val="00345002"/>
    <w:rsid w:val="003456B4"/>
    <w:rsid w:val="0035147D"/>
    <w:rsid w:val="003528B6"/>
    <w:rsid w:val="003536D5"/>
    <w:rsid w:val="00354698"/>
    <w:rsid w:val="00357C2C"/>
    <w:rsid w:val="00360291"/>
    <w:rsid w:val="00360D3F"/>
    <w:rsid w:val="003625C1"/>
    <w:rsid w:val="00364AD1"/>
    <w:rsid w:val="00365556"/>
    <w:rsid w:val="00365562"/>
    <w:rsid w:val="00365A71"/>
    <w:rsid w:val="0036666B"/>
    <w:rsid w:val="00367C28"/>
    <w:rsid w:val="00370353"/>
    <w:rsid w:val="00371C1B"/>
    <w:rsid w:val="00373DF9"/>
    <w:rsid w:val="003740CD"/>
    <w:rsid w:val="003754EE"/>
    <w:rsid w:val="0037651A"/>
    <w:rsid w:val="003776C8"/>
    <w:rsid w:val="00377D91"/>
    <w:rsid w:val="00380B2A"/>
    <w:rsid w:val="00381B39"/>
    <w:rsid w:val="00381C06"/>
    <w:rsid w:val="00383C3E"/>
    <w:rsid w:val="003860CA"/>
    <w:rsid w:val="003900AF"/>
    <w:rsid w:val="00392DC8"/>
    <w:rsid w:val="003948CA"/>
    <w:rsid w:val="00397A81"/>
    <w:rsid w:val="003A0143"/>
    <w:rsid w:val="003A097B"/>
    <w:rsid w:val="003A4278"/>
    <w:rsid w:val="003A5880"/>
    <w:rsid w:val="003A58F3"/>
    <w:rsid w:val="003A6DBA"/>
    <w:rsid w:val="003A74D7"/>
    <w:rsid w:val="003A78B4"/>
    <w:rsid w:val="003B02C2"/>
    <w:rsid w:val="003B0C4F"/>
    <w:rsid w:val="003B1551"/>
    <w:rsid w:val="003B30BE"/>
    <w:rsid w:val="003B31AB"/>
    <w:rsid w:val="003B3882"/>
    <w:rsid w:val="003B497C"/>
    <w:rsid w:val="003B5FAD"/>
    <w:rsid w:val="003B755F"/>
    <w:rsid w:val="003C00B4"/>
    <w:rsid w:val="003C1419"/>
    <w:rsid w:val="003C2290"/>
    <w:rsid w:val="003C4CCF"/>
    <w:rsid w:val="003C4E74"/>
    <w:rsid w:val="003C4ED7"/>
    <w:rsid w:val="003C5F7F"/>
    <w:rsid w:val="003D43D6"/>
    <w:rsid w:val="003D4CD7"/>
    <w:rsid w:val="003D56AE"/>
    <w:rsid w:val="003D7C8E"/>
    <w:rsid w:val="003D7FCF"/>
    <w:rsid w:val="003E02C0"/>
    <w:rsid w:val="003E0490"/>
    <w:rsid w:val="003E0E6A"/>
    <w:rsid w:val="003E1714"/>
    <w:rsid w:val="003E2810"/>
    <w:rsid w:val="003E2C23"/>
    <w:rsid w:val="003E5BF7"/>
    <w:rsid w:val="003F14BC"/>
    <w:rsid w:val="003F1580"/>
    <w:rsid w:val="003F1FA2"/>
    <w:rsid w:val="003F27BA"/>
    <w:rsid w:val="003F3BE2"/>
    <w:rsid w:val="00403159"/>
    <w:rsid w:val="0040522F"/>
    <w:rsid w:val="004109EA"/>
    <w:rsid w:val="00411247"/>
    <w:rsid w:val="0041126A"/>
    <w:rsid w:val="00411339"/>
    <w:rsid w:val="0041684F"/>
    <w:rsid w:val="00416F2A"/>
    <w:rsid w:val="004212D0"/>
    <w:rsid w:val="00421AFE"/>
    <w:rsid w:val="00423039"/>
    <w:rsid w:val="00424F5B"/>
    <w:rsid w:val="00425E4A"/>
    <w:rsid w:val="00427E34"/>
    <w:rsid w:val="0043118B"/>
    <w:rsid w:val="00432F9D"/>
    <w:rsid w:val="004332EE"/>
    <w:rsid w:val="00433AC6"/>
    <w:rsid w:val="00435184"/>
    <w:rsid w:val="00435377"/>
    <w:rsid w:val="00435626"/>
    <w:rsid w:val="004368DB"/>
    <w:rsid w:val="0044218C"/>
    <w:rsid w:val="00442F3B"/>
    <w:rsid w:val="00443A0C"/>
    <w:rsid w:val="0044551E"/>
    <w:rsid w:val="00445E1E"/>
    <w:rsid w:val="0045166C"/>
    <w:rsid w:val="0045285D"/>
    <w:rsid w:val="00452DA3"/>
    <w:rsid w:val="00455086"/>
    <w:rsid w:val="00455CA8"/>
    <w:rsid w:val="00456311"/>
    <w:rsid w:val="004637E5"/>
    <w:rsid w:val="0046437A"/>
    <w:rsid w:val="004655D5"/>
    <w:rsid w:val="00467095"/>
    <w:rsid w:val="0046782C"/>
    <w:rsid w:val="00473C1D"/>
    <w:rsid w:val="0047529B"/>
    <w:rsid w:val="004766A4"/>
    <w:rsid w:val="00477F2F"/>
    <w:rsid w:val="004800AF"/>
    <w:rsid w:val="00480554"/>
    <w:rsid w:val="00481F35"/>
    <w:rsid w:val="00484840"/>
    <w:rsid w:val="004876D4"/>
    <w:rsid w:val="004902A3"/>
    <w:rsid w:val="00490F0D"/>
    <w:rsid w:val="004917D0"/>
    <w:rsid w:val="00492262"/>
    <w:rsid w:val="004929BE"/>
    <w:rsid w:val="00493286"/>
    <w:rsid w:val="00494AA1"/>
    <w:rsid w:val="00494B5E"/>
    <w:rsid w:val="00495220"/>
    <w:rsid w:val="004A109A"/>
    <w:rsid w:val="004A1E8E"/>
    <w:rsid w:val="004A2804"/>
    <w:rsid w:val="004A3708"/>
    <w:rsid w:val="004A3CA4"/>
    <w:rsid w:val="004A49C6"/>
    <w:rsid w:val="004A4D63"/>
    <w:rsid w:val="004A54BB"/>
    <w:rsid w:val="004A5D4A"/>
    <w:rsid w:val="004A6A4A"/>
    <w:rsid w:val="004A6C7D"/>
    <w:rsid w:val="004B0820"/>
    <w:rsid w:val="004B1FC7"/>
    <w:rsid w:val="004B286F"/>
    <w:rsid w:val="004B2931"/>
    <w:rsid w:val="004B5124"/>
    <w:rsid w:val="004B7D46"/>
    <w:rsid w:val="004C11DF"/>
    <w:rsid w:val="004C15B7"/>
    <w:rsid w:val="004C1B2F"/>
    <w:rsid w:val="004C2211"/>
    <w:rsid w:val="004C41D6"/>
    <w:rsid w:val="004C6F69"/>
    <w:rsid w:val="004C7540"/>
    <w:rsid w:val="004D1ACF"/>
    <w:rsid w:val="004D1E33"/>
    <w:rsid w:val="004D1E62"/>
    <w:rsid w:val="004D38A0"/>
    <w:rsid w:val="004D3D20"/>
    <w:rsid w:val="004D4974"/>
    <w:rsid w:val="004D4A9E"/>
    <w:rsid w:val="004D5024"/>
    <w:rsid w:val="004D56B8"/>
    <w:rsid w:val="004D6D3C"/>
    <w:rsid w:val="004D706A"/>
    <w:rsid w:val="004E1615"/>
    <w:rsid w:val="004E19B1"/>
    <w:rsid w:val="004E4F51"/>
    <w:rsid w:val="004E65FC"/>
    <w:rsid w:val="004E77AB"/>
    <w:rsid w:val="004F02A3"/>
    <w:rsid w:val="004F161B"/>
    <w:rsid w:val="004F1CC1"/>
    <w:rsid w:val="004F4056"/>
    <w:rsid w:val="004F4D97"/>
    <w:rsid w:val="004F6357"/>
    <w:rsid w:val="004F6985"/>
    <w:rsid w:val="004F74B5"/>
    <w:rsid w:val="004F7F95"/>
    <w:rsid w:val="00501BD1"/>
    <w:rsid w:val="00502B55"/>
    <w:rsid w:val="00503159"/>
    <w:rsid w:val="00511BCF"/>
    <w:rsid w:val="00512AEF"/>
    <w:rsid w:val="005145D9"/>
    <w:rsid w:val="00514682"/>
    <w:rsid w:val="005156E2"/>
    <w:rsid w:val="0051750B"/>
    <w:rsid w:val="00517FC2"/>
    <w:rsid w:val="00520726"/>
    <w:rsid w:val="0052246D"/>
    <w:rsid w:val="005228F3"/>
    <w:rsid w:val="00522D03"/>
    <w:rsid w:val="00524EC9"/>
    <w:rsid w:val="005264F9"/>
    <w:rsid w:val="005276DF"/>
    <w:rsid w:val="0053101C"/>
    <w:rsid w:val="005321AF"/>
    <w:rsid w:val="005325B6"/>
    <w:rsid w:val="005352BC"/>
    <w:rsid w:val="005354D1"/>
    <w:rsid w:val="00535907"/>
    <w:rsid w:val="00535B51"/>
    <w:rsid w:val="0054168A"/>
    <w:rsid w:val="00541DB6"/>
    <w:rsid w:val="00541FF0"/>
    <w:rsid w:val="00544FA3"/>
    <w:rsid w:val="005467B5"/>
    <w:rsid w:val="00547E08"/>
    <w:rsid w:val="00553582"/>
    <w:rsid w:val="0055766B"/>
    <w:rsid w:val="00561561"/>
    <w:rsid w:val="00562010"/>
    <w:rsid w:val="0056358B"/>
    <w:rsid w:val="00565864"/>
    <w:rsid w:val="00566F81"/>
    <w:rsid w:val="005677DB"/>
    <w:rsid w:val="00567E24"/>
    <w:rsid w:val="0057046F"/>
    <w:rsid w:val="005711C1"/>
    <w:rsid w:val="00571443"/>
    <w:rsid w:val="00572A45"/>
    <w:rsid w:val="00573A52"/>
    <w:rsid w:val="005750B5"/>
    <w:rsid w:val="0057616F"/>
    <w:rsid w:val="00577D6E"/>
    <w:rsid w:val="00577EE6"/>
    <w:rsid w:val="00577F7B"/>
    <w:rsid w:val="00581759"/>
    <w:rsid w:val="00581E1B"/>
    <w:rsid w:val="00582A0D"/>
    <w:rsid w:val="00583E6F"/>
    <w:rsid w:val="00585A02"/>
    <w:rsid w:val="005872AE"/>
    <w:rsid w:val="005872BF"/>
    <w:rsid w:val="00587CEE"/>
    <w:rsid w:val="00590CD9"/>
    <w:rsid w:val="0059249B"/>
    <w:rsid w:val="0059255A"/>
    <w:rsid w:val="00593964"/>
    <w:rsid w:val="00594469"/>
    <w:rsid w:val="0059502B"/>
    <w:rsid w:val="00595751"/>
    <w:rsid w:val="00595D48"/>
    <w:rsid w:val="005A0582"/>
    <w:rsid w:val="005A0588"/>
    <w:rsid w:val="005A1DF3"/>
    <w:rsid w:val="005A1E9B"/>
    <w:rsid w:val="005A1FB1"/>
    <w:rsid w:val="005A39BD"/>
    <w:rsid w:val="005A5AF0"/>
    <w:rsid w:val="005A5FC2"/>
    <w:rsid w:val="005A73FF"/>
    <w:rsid w:val="005B09B5"/>
    <w:rsid w:val="005B0D2D"/>
    <w:rsid w:val="005B2FC5"/>
    <w:rsid w:val="005B35EA"/>
    <w:rsid w:val="005B381E"/>
    <w:rsid w:val="005B4FCC"/>
    <w:rsid w:val="005C00E7"/>
    <w:rsid w:val="005C1459"/>
    <w:rsid w:val="005C4DD3"/>
    <w:rsid w:val="005C5235"/>
    <w:rsid w:val="005C581E"/>
    <w:rsid w:val="005C78F5"/>
    <w:rsid w:val="005D1818"/>
    <w:rsid w:val="005D4A30"/>
    <w:rsid w:val="005D4E79"/>
    <w:rsid w:val="005D5DDE"/>
    <w:rsid w:val="005D63FD"/>
    <w:rsid w:val="005D6A10"/>
    <w:rsid w:val="005D79DD"/>
    <w:rsid w:val="005D79E6"/>
    <w:rsid w:val="005E0D78"/>
    <w:rsid w:val="005E0F05"/>
    <w:rsid w:val="005E2423"/>
    <w:rsid w:val="005F07FA"/>
    <w:rsid w:val="005F24AB"/>
    <w:rsid w:val="005F44C4"/>
    <w:rsid w:val="005F46E9"/>
    <w:rsid w:val="005F4F14"/>
    <w:rsid w:val="005F565A"/>
    <w:rsid w:val="005F5A66"/>
    <w:rsid w:val="005F76AA"/>
    <w:rsid w:val="005F7F6F"/>
    <w:rsid w:val="00600EB0"/>
    <w:rsid w:val="00601CBF"/>
    <w:rsid w:val="00602210"/>
    <w:rsid w:val="00602975"/>
    <w:rsid w:val="00603562"/>
    <w:rsid w:val="00603C05"/>
    <w:rsid w:val="00604A92"/>
    <w:rsid w:val="00604CCA"/>
    <w:rsid w:val="00606189"/>
    <w:rsid w:val="006061B4"/>
    <w:rsid w:val="00606E46"/>
    <w:rsid w:val="00607019"/>
    <w:rsid w:val="0060722C"/>
    <w:rsid w:val="00610B0E"/>
    <w:rsid w:val="00611684"/>
    <w:rsid w:val="00611771"/>
    <w:rsid w:val="0061180F"/>
    <w:rsid w:val="0061468A"/>
    <w:rsid w:val="00615FE9"/>
    <w:rsid w:val="006167FA"/>
    <w:rsid w:val="00616AD2"/>
    <w:rsid w:val="006172B5"/>
    <w:rsid w:val="006210BA"/>
    <w:rsid w:val="006238DF"/>
    <w:rsid w:val="00623B25"/>
    <w:rsid w:val="00624662"/>
    <w:rsid w:val="00627515"/>
    <w:rsid w:val="006300FA"/>
    <w:rsid w:val="0063476F"/>
    <w:rsid w:val="00640BB2"/>
    <w:rsid w:val="006423B1"/>
    <w:rsid w:val="00642567"/>
    <w:rsid w:val="00642802"/>
    <w:rsid w:val="00642D4D"/>
    <w:rsid w:val="006448F1"/>
    <w:rsid w:val="0064782A"/>
    <w:rsid w:val="0065057B"/>
    <w:rsid w:val="006517DC"/>
    <w:rsid w:val="006533D4"/>
    <w:rsid w:val="0065348C"/>
    <w:rsid w:val="00653D74"/>
    <w:rsid w:val="006571E8"/>
    <w:rsid w:val="0065779F"/>
    <w:rsid w:val="00662E72"/>
    <w:rsid w:val="00663C9E"/>
    <w:rsid w:val="00663F4D"/>
    <w:rsid w:val="0066712A"/>
    <w:rsid w:val="00667791"/>
    <w:rsid w:val="00670FEB"/>
    <w:rsid w:val="006718D4"/>
    <w:rsid w:val="00673B8B"/>
    <w:rsid w:val="006746C6"/>
    <w:rsid w:val="006779E4"/>
    <w:rsid w:val="006805D8"/>
    <w:rsid w:val="00681536"/>
    <w:rsid w:val="00682261"/>
    <w:rsid w:val="00682328"/>
    <w:rsid w:val="00682B72"/>
    <w:rsid w:val="006847AB"/>
    <w:rsid w:val="00684EAC"/>
    <w:rsid w:val="0068515C"/>
    <w:rsid w:val="006853D4"/>
    <w:rsid w:val="0068657C"/>
    <w:rsid w:val="00687FEA"/>
    <w:rsid w:val="006921D3"/>
    <w:rsid w:val="00692B84"/>
    <w:rsid w:val="00694A51"/>
    <w:rsid w:val="00694F7E"/>
    <w:rsid w:val="00695489"/>
    <w:rsid w:val="00695DC1"/>
    <w:rsid w:val="0069751C"/>
    <w:rsid w:val="006A2D66"/>
    <w:rsid w:val="006A44BE"/>
    <w:rsid w:val="006A7D40"/>
    <w:rsid w:val="006B14F6"/>
    <w:rsid w:val="006B2CF7"/>
    <w:rsid w:val="006B2E6E"/>
    <w:rsid w:val="006B3103"/>
    <w:rsid w:val="006B38BF"/>
    <w:rsid w:val="006B4964"/>
    <w:rsid w:val="006B6079"/>
    <w:rsid w:val="006B7F43"/>
    <w:rsid w:val="006C14A3"/>
    <w:rsid w:val="006C1C7A"/>
    <w:rsid w:val="006C3B2B"/>
    <w:rsid w:val="006C4622"/>
    <w:rsid w:val="006C4A06"/>
    <w:rsid w:val="006C4ED3"/>
    <w:rsid w:val="006C554C"/>
    <w:rsid w:val="006C6428"/>
    <w:rsid w:val="006D2FCB"/>
    <w:rsid w:val="006D4BC9"/>
    <w:rsid w:val="006D5804"/>
    <w:rsid w:val="006D7785"/>
    <w:rsid w:val="006E23D3"/>
    <w:rsid w:val="006E3713"/>
    <w:rsid w:val="006E45B0"/>
    <w:rsid w:val="006E5223"/>
    <w:rsid w:val="006E6B98"/>
    <w:rsid w:val="006E6BA7"/>
    <w:rsid w:val="006F09D7"/>
    <w:rsid w:val="006F1B1E"/>
    <w:rsid w:val="006F2221"/>
    <w:rsid w:val="006F2AA5"/>
    <w:rsid w:val="006F3384"/>
    <w:rsid w:val="006F3A28"/>
    <w:rsid w:val="006F3E79"/>
    <w:rsid w:val="006F647B"/>
    <w:rsid w:val="00701F10"/>
    <w:rsid w:val="00702AE9"/>
    <w:rsid w:val="00702CB2"/>
    <w:rsid w:val="00705982"/>
    <w:rsid w:val="00706531"/>
    <w:rsid w:val="00706544"/>
    <w:rsid w:val="0071043C"/>
    <w:rsid w:val="007106F3"/>
    <w:rsid w:val="007117D9"/>
    <w:rsid w:val="007138F1"/>
    <w:rsid w:val="00713FA7"/>
    <w:rsid w:val="00714A03"/>
    <w:rsid w:val="0071549B"/>
    <w:rsid w:val="00717D6F"/>
    <w:rsid w:val="00722091"/>
    <w:rsid w:val="007237BD"/>
    <w:rsid w:val="0072392A"/>
    <w:rsid w:val="0072588C"/>
    <w:rsid w:val="007262FA"/>
    <w:rsid w:val="007263E4"/>
    <w:rsid w:val="00731B91"/>
    <w:rsid w:val="00740B7B"/>
    <w:rsid w:val="00743051"/>
    <w:rsid w:val="00743717"/>
    <w:rsid w:val="00743D19"/>
    <w:rsid w:val="00746F40"/>
    <w:rsid w:val="00747517"/>
    <w:rsid w:val="007506DC"/>
    <w:rsid w:val="00751238"/>
    <w:rsid w:val="00751430"/>
    <w:rsid w:val="00754DF5"/>
    <w:rsid w:val="00755AC4"/>
    <w:rsid w:val="0075773E"/>
    <w:rsid w:val="0076126A"/>
    <w:rsid w:val="0076156C"/>
    <w:rsid w:val="0076191F"/>
    <w:rsid w:val="00761999"/>
    <w:rsid w:val="007645C6"/>
    <w:rsid w:val="00765E27"/>
    <w:rsid w:val="00770B5E"/>
    <w:rsid w:val="00770D28"/>
    <w:rsid w:val="0077136B"/>
    <w:rsid w:val="00773742"/>
    <w:rsid w:val="00774813"/>
    <w:rsid w:val="00776556"/>
    <w:rsid w:val="0077701A"/>
    <w:rsid w:val="00780E74"/>
    <w:rsid w:val="0078185C"/>
    <w:rsid w:val="00782788"/>
    <w:rsid w:val="00784953"/>
    <w:rsid w:val="00784D66"/>
    <w:rsid w:val="00785201"/>
    <w:rsid w:val="00790D29"/>
    <w:rsid w:val="00791B00"/>
    <w:rsid w:val="007944D7"/>
    <w:rsid w:val="00797B74"/>
    <w:rsid w:val="007A0B0A"/>
    <w:rsid w:val="007A0FD2"/>
    <w:rsid w:val="007A1920"/>
    <w:rsid w:val="007A30A3"/>
    <w:rsid w:val="007A3177"/>
    <w:rsid w:val="007A33C4"/>
    <w:rsid w:val="007A64A4"/>
    <w:rsid w:val="007B0C87"/>
    <w:rsid w:val="007B0E0C"/>
    <w:rsid w:val="007B10E3"/>
    <w:rsid w:val="007B37E5"/>
    <w:rsid w:val="007B4512"/>
    <w:rsid w:val="007B4751"/>
    <w:rsid w:val="007B4FFC"/>
    <w:rsid w:val="007B61A7"/>
    <w:rsid w:val="007B6AB7"/>
    <w:rsid w:val="007B704B"/>
    <w:rsid w:val="007B75E3"/>
    <w:rsid w:val="007C0610"/>
    <w:rsid w:val="007C09EF"/>
    <w:rsid w:val="007C16CD"/>
    <w:rsid w:val="007C2069"/>
    <w:rsid w:val="007C6623"/>
    <w:rsid w:val="007D02A1"/>
    <w:rsid w:val="007D46EF"/>
    <w:rsid w:val="007E0740"/>
    <w:rsid w:val="007E0E43"/>
    <w:rsid w:val="007E22B8"/>
    <w:rsid w:val="007E2310"/>
    <w:rsid w:val="007E2802"/>
    <w:rsid w:val="007E2A28"/>
    <w:rsid w:val="007E2A8B"/>
    <w:rsid w:val="007E51A0"/>
    <w:rsid w:val="007E722F"/>
    <w:rsid w:val="007E7616"/>
    <w:rsid w:val="007F0677"/>
    <w:rsid w:val="007F531A"/>
    <w:rsid w:val="007F5837"/>
    <w:rsid w:val="008022CA"/>
    <w:rsid w:val="0080254B"/>
    <w:rsid w:val="00802AC2"/>
    <w:rsid w:val="0080414E"/>
    <w:rsid w:val="00806887"/>
    <w:rsid w:val="00810309"/>
    <w:rsid w:val="00811D0D"/>
    <w:rsid w:val="00811F61"/>
    <w:rsid w:val="008124A8"/>
    <w:rsid w:val="00814C64"/>
    <w:rsid w:val="008160DC"/>
    <w:rsid w:val="00820D52"/>
    <w:rsid w:val="00821D65"/>
    <w:rsid w:val="00822092"/>
    <w:rsid w:val="0082355D"/>
    <w:rsid w:val="0082512C"/>
    <w:rsid w:val="00825862"/>
    <w:rsid w:val="008269AB"/>
    <w:rsid w:val="0082758D"/>
    <w:rsid w:val="00830402"/>
    <w:rsid w:val="00830694"/>
    <w:rsid w:val="00830D90"/>
    <w:rsid w:val="00831089"/>
    <w:rsid w:val="00833875"/>
    <w:rsid w:val="00833A6B"/>
    <w:rsid w:val="00835891"/>
    <w:rsid w:val="00836903"/>
    <w:rsid w:val="008377AB"/>
    <w:rsid w:val="00837C5C"/>
    <w:rsid w:val="00840DD8"/>
    <w:rsid w:val="008417B0"/>
    <w:rsid w:val="008430A9"/>
    <w:rsid w:val="0084355D"/>
    <w:rsid w:val="00843D59"/>
    <w:rsid w:val="00844058"/>
    <w:rsid w:val="00844794"/>
    <w:rsid w:val="008475BC"/>
    <w:rsid w:val="00847BFD"/>
    <w:rsid w:val="00847D57"/>
    <w:rsid w:val="008501C3"/>
    <w:rsid w:val="00850C34"/>
    <w:rsid w:val="00851C7D"/>
    <w:rsid w:val="0085205B"/>
    <w:rsid w:val="00852599"/>
    <w:rsid w:val="0085310B"/>
    <w:rsid w:val="0085473C"/>
    <w:rsid w:val="0085482E"/>
    <w:rsid w:val="00856DFB"/>
    <w:rsid w:val="00857C02"/>
    <w:rsid w:val="00860186"/>
    <w:rsid w:val="00862B01"/>
    <w:rsid w:val="00862C17"/>
    <w:rsid w:val="00862CDE"/>
    <w:rsid w:val="00862EFA"/>
    <w:rsid w:val="00863E02"/>
    <w:rsid w:val="008644BB"/>
    <w:rsid w:val="008646C7"/>
    <w:rsid w:val="00864729"/>
    <w:rsid w:val="0086567A"/>
    <w:rsid w:val="00865855"/>
    <w:rsid w:val="00866457"/>
    <w:rsid w:val="00866CDE"/>
    <w:rsid w:val="0086707C"/>
    <w:rsid w:val="0086774B"/>
    <w:rsid w:val="008677C5"/>
    <w:rsid w:val="00867F97"/>
    <w:rsid w:val="00870490"/>
    <w:rsid w:val="0087145B"/>
    <w:rsid w:val="00872BB5"/>
    <w:rsid w:val="00872BE0"/>
    <w:rsid w:val="00873614"/>
    <w:rsid w:val="00873A53"/>
    <w:rsid w:val="00874D24"/>
    <w:rsid w:val="00880325"/>
    <w:rsid w:val="00883869"/>
    <w:rsid w:val="0088475D"/>
    <w:rsid w:val="00884ECE"/>
    <w:rsid w:val="008859B4"/>
    <w:rsid w:val="00886D03"/>
    <w:rsid w:val="008907B2"/>
    <w:rsid w:val="00893CE0"/>
    <w:rsid w:val="00894089"/>
    <w:rsid w:val="00894AED"/>
    <w:rsid w:val="00896626"/>
    <w:rsid w:val="008A1235"/>
    <w:rsid w:val="008A153C"/>
    <w:rsid w:val="008A1B1D"/>
    <w:rsid w:val="008A1BBA"/>
    <w:rsid w:val="008A1C93"/>
    <w:rsid w:val="008A327D"/>
    <w:rsid w:val="008A3F4E"/>
    <w:rsid w:val="008A67A8"/>
    <w:rsid w:val="008B0BAA"/>
    <w:rsid w:val="008B1291"/>
    <w:rsid w:val="008B2452"/>
    <w:rsid w:val="008B34F9"/>
    <w:rsid w:val="008B647A"/>
    <w:rsid w:val="008B6565"/>
    <w:rsid w:val="008C2133"/>
    <w:rsid w:val="008C3E5F"/>
    <w:rsid w:val="008C5832"/>
    <w:rsid w:val="008C597D"/>
    <w:rsid w:val="008C5BAC"/>
    <w:rsid w:val="008C64CD"/>
    <w:rsid w:val="008C6A2E"/>
    <w:rsid w:val="008C75C6"/>
    <w:rsid w:val="008D123E"/>
    <w:rsid w:val="008D168D"/>
    <w:rsid w:val="008D1B13"/>
    <w:rsid w:val="008D3C4A"/>
    <w:rsid w:val="008D3EB3"/>
    <w:rsid w:val="008D5221"/>
    <w:rsid w:val="008D58D1"/>
    <w:rsid w:val="008D7189"/>
    <w:rsid w:val="008D746F"/>
    <w:rsid w:val="008D7FEC"/>
    <w:rsid w:val="008E09CC"/>
    <w:rsid w:val="008E48DE"/>
    <w:rsid w:val="008E5A8A"/>
    <w:rsid w:val="008E6821"/>
    <w:rsid w:val="008F1330"/>
    <w:rsid w:val="008F1890"/>
    <w:rsid w:val="008F227F"/>
    <w:rsid w:val="008F26EC"/>
    <w:rsid w:val="008F61DF"/>
    <w:rsid w:val="008F69A1"/>
    <w:rsid w:val="008F73AE"/>
    <w:rsid w:val="008F7C9B"/>
    <w:rsid w:val="00900C46"/>
    <w:rsid w:val="00901954"/>
    <w:rsid w:val="00902818"/>
    <w:rsid w:val="0090326D"/>
    <w:rsid w:val="00904189"/>
    <w:rsid w:val="00905100"/>
    <w:rsid w:val="0090535F"/>
    <w:rsid w:val="0090625F"/>
    <w:rsid w:val="00907703"/>
    <w:rsid w:val="009107F2"/>
    <w:rsid w:val="009108CF"/>
    <w:rsid w:val="0091156E"/>
    <w:rsid w:val="00912A67"/>
    <w:rsid w:val="009140AB"/>
    <w:rsid w:val="009157B4"/>
    <w:rsid w:val="009164DF"/>
    <w:rsid w:val="00916F28"/>
    <w:rsid w:val="009172B9"/>
    <w:rsid w:val="00920AE6"/>
    <w:rsid w:val="009218B1"/>
    <w:rsid w:val="00922BE3"/>
    <w:rsid w:val="00922F3A"/>
    <w:rsid w:val="00922F9C"/>
    <w:rsid w:val="00924013"/>
    <w:rsid w:val="00925647"/>
    <w:rsid w:val="009258B9"/>
    <w:rsid w:val="00926828"/>
    <w:rsid w:val="00932473"/>
    <w:rsid w:val="00932C2E"/>
    <w:rsid w:val="00932ED8"/>
    <w:rsid w:val="00933B56"/>
    <w:rsid w:val="0093652A"/>
    <w:rsid w:val="009416E4"/>
    <w:rsid w:val="009433A9"/>
    <w:rsid w:val="00945FA9"/>
    <w:rsid w:val="009464F4"/>
    <w:rsid w:val="00946ABF"/>
    <w:rsid w:val="00947DDC"/>
    <w:rsid w:val="009528FA"/>
    <w:rsid w:val="00956795"/>
    <w:rsid w:val="009600FE"/>
    <w:rsid w:val="00960166"/>
    <w:rsid w:val="00961267"/>
    <w:rsid w:val="009615F9"/>
    <w:rsid w:val="00965AEE"/>
    <w:rsid w:val="009675C7"/>
    <w:rsid w:val="0096775B"/>
    <w:rsid w:val="0097109C"/>
    <w:rsid w:val="009738E3"/>
    <w:rsid w:val="00973DA8"/>
    <w:rsid w:val="0097457C"/>
    <w:rsid w:val="00974C9B"/>
    <w:rsid w:val="0097553D"/>
    <w:rsid w:val="00977E4F"/>
    <w:rsid w:val="0098043E"/>
    <w:rsid w:val="00981B06"/>
    <w:rsid w:val="009825AC"/>
    <w:rsid w:val="00982957"/>
    <w:rsid w:val="009830A8"/>
    <w:rsid w:val="0098486C"/>
    <w:rsid w:val="00985308"/>
    <w:rsid w:val="00986250"/>
    <w:rsid w:val="0098644C"/>
    <w:rsid w:val="009905AA"/>
    <w:rsid w:val="009924C9"/>
    <w:rsid w:val="00992537"/>
    <w:rsid w:val="00992880"/>
    <w:rsid w:val="00994348"/>
    <w:rsid w:val="00994677"/>
    <w:rsid w:val="00995072"/>
    <w:rsid w:val="009963C4"/>
    <w:rsid w:val="009A2ACB"/>
    <w:rsid w:val="009A599E"/>
    <w:rsid w:val="009A6149"/>
    <w:rsid w:val="009A7ABC"/>
    <w:rsid w:val="009B039B"/>
    <w:rsid w:val="009B1812"/>
    <w:rsid w:val="009B5151"/>
    <w:rsid w:val="009B5530"/>
    <w:rsid w:val="009B57C7"/>
    <w:rsid w:val="009C0590"/>
    <w:rsid w:val="009C11E1"/>
    <w:rsid w:val="009C157E"/>
    <w:rsid w:val="009C1882"/>
    <w:rsid w:val="009C1CAC"/>
    <w:rsid w:val="009C20CC"/>
    <w:rsid w:val="009C383B"/>
    <w:rsid w:val="009C5639"/>
    <w:rsid w:val="009C7937"/>
    <w:rsid w:val="009D0E2D"/>
    <w:rsid w:val="009D1677"/>
    <w:rsid w:val="009D295C"/>
    <w:rsid w:val="009D782E"/>
    <w:rsid w:val="009E0482"/>
    <w:rsid w:val="009E3850"/>
    <w:rsid w:val="009E3D56"/>
    <w:rsid w:val="009E4835"/>
    <w:rsid w:val="009E5404"/>
    <w:rsid w:val="009E73AB"/>
    <w:rsid w:val="009F09F6"/>
    <w:rsid w:val="009F1EBE"/>
    <w:rsid w:val="009F32DA"/>
    <w:rsid w:val="009F6381"/>
    <w:rsid w:val="009F7D59"/>
    <w:rsid w:val="00A010FC"/>
    <w:rsid w:val="00A01572"/>
    <w:rsid w:val="00A02A92"/>
    <w:rsid w:val="00A0320C"/>
    <w:rsid w:val="00A057AA"/>
    <w:rsid w:val="00A05C8A"/>
    <w:rsid w:val="00A11CF1"/>
    <w:rsid w:val="00A136D3"/>
    <w:rsid w:val="00A14CA6"/>
    <w:rsid w:val="00A14D59"/>
    <w:rsid w:val="00A14EC0"/>
    <w:rsid w:val="00A168E7"/>
    <w:rsid w:val="00A1723A"/>
    <w:rsid w:val="00A22706"/>
    <w:rsid w:val="00A232B1"/>
    <w:rsid w:val="00A234BF"/>
    <w:rsid w:val="00A2367E"/>
    <w:rsid w:val="00A23C08"/>
    <w:rsid w:val="00A240A4"/>
    <w:rsid w:val="00A272DF"/>
    <w:rsid w:val="00A27AB6"/>
    <w:rsid w:val="00A334E0"/>
    <w:rsid w:val="00A33A86"/>
    <w:rsid w:val="00A348C8"/>
    <w:rsid w:val="00A354D3"/>
    <w:rsid w:val="00A367E2"/>
    <w:rsid w:val="00A37315"/>
    <w:rsid w:val="00A3777C"/>
    <w:rsid w:val="00A40D0F"/>
    <w:rsid w:val="00A426CB"/>
    <w:rsid w:val="00A44A62"/>
    <w:rsid w:val="00A45B1E"/>
    <w:rsid w:val="00A46C06"/>
    <w:rsid w:val="00A46D24"/>
    <w:rsid w:val="00A47C62"/>
    <w:rsid w:val="00A47E14"/>
    <w:rsid w:val="00A50830"/>
    <w:rsid w:val="00A51CD7"/>
    <w:rsid w:val="00A53317"/>
    <w:rsid w:val="00A5372B"/>
    <w:rsid w:val="00A546BA"/>
    <w:rsid w:val="00A54C8B"/>
    <w:rsid w:val="00A561B8"/>
    <w:rsid w:val="00A56595"/>
    <w:rsid w:val="00A56EE8"/>
    <w:rsid w:val="00A57995"/>
    <w:rsid w:val="00A57C36"/>
    <w:rsid w:val="00A60983"/>
    <w:rsid w:val="00A61F6A"/>
    <w:rsid w:val="00A63990"/>
    <w:rsid w:val="00A652E1"/>
    <w:rsid w:val="00A6536F"/>
    <w:rsid w:val="00A65671"/>
    <w:rsid w:val="00A715CD"/>
    <w:rsid w:val="00A7179E"/>
    <w:rsid w:val="00A71AE3"/>
    <w:rsid w:val="00A71CBD"/>
    <w:rsid w:val="00A72E53"/>
    <w:rsid w:val="00A731F4"/>
    <w:rsid w:val="00A73D4C"/>
    <w:rsid w:val="00A742E9"/>
    <w:rsid w:val="00A7517D"/>
    <w:rsid w:val="00A774B8"/>
    <w:rsid w:val="00A806C9"/>
    <w:rsid w:val="00A86972"/>
    <w:rsid w:val="00A87565"/>
    <w:rsid w:val="00A91647"/>
    <w:rsid w:val="00A93B17"/>
    <w:rsid w:val="00A94172"/>
    <w:rsid w:val="00A947AA"/>
    <w:rsid w:val="00A95E22"/>
    <w:rsid w:val="00AA05C2"/>
    <w:rsid w:val="00AA08FE"/>
    <w:rsid w:val="00AA3AF7"/>
    <w:rsid w:val="00AA42CB"/>
    <w:rsid w:val="00AA4ABA"/>
    <w:rsid w:val="00AA5B57"/>
    <w:rsid w:val="00AA6034"/>
    <w:rsid w:val="00AA6311"/>
    <w:rsid w:val="00AA67A6"/>
    <w:rsid w:val="00AA7B2A"/>
    <w:rsid w:val="00AB1DB0"/>
    <w:rsid w:val="00AB34A1"/>
    <w:rsid w:val="00AB3582"/>
    <w:rsid w:val="00AB44D9"/>
    <w:rsid w:val="00AB5C71"/>
    <w:rsid w:val="00AC0CD4"/>
    <w:rsid w:val="00AC4F84"/>
    <w:rsid w:val="00AD14C2"/>
    <w:rsid w:val="00AD2AAC"/>
    <w:rsid w:val="00AD540F"/>
    <w:rsid w:val="00AD6B84"/>
    <w:rsid w:val="00AE24D9"/>
    <w:rsid w:val="00AE2626"/>
    <w:rsid w:val="00AF062D"/>
    <w:rsid w:val="00AF5628"/>
    <w:rsid w:val="00AF6753"/>
    <w:rsid w:val="00AF6F4A"/>
    <w:rsid w:val="00AF73FE"/>
    <w:rsid w:val="00AF78D0"/>
    <w:rsid w:val="00AF7DC2"/>
    <w:rsid w:val="00B005CB"/>
    <w:rsid w:val="00B0158E"/>
    <w:rsid w:val="00B03CE6"/>
    <w:rsid w:val="00B03E68"/>
    <w:rsid w:val="00B042DF"/>
    <w:rsid w:val="00B04A86"/>
    <w:rsid w:val="00B05515"/>
    <w:rsid w:val="00B07684"/>
    <w:rsid w:val="00B078BA"/>
    <w:rsid w:val="00B11157"/>
    <w:rsid w:val="00B117E6"/>
    <w:rsid w:val="00B15DC1"/>
    <w:rsid w:val="00B172C2"/>
    <w:rsid w:val="00B20967"/>
    <w:rsid w:val="00B22AFB"/>
    <w:rsid w:val="00B22BF2"/>
    <w:rsid w:val="00B22F73"/>
    <w:rsid w:val="00B236B6"/>
    <w:rsid w:val="00B23769"/>
    <w:rsid w:val="00B26B24"/>
    <w:rsid w:val="00B27021"/>
    <w:rsid w:val="00B30298"/>
    <w:rsid w:val="00B33346"/>
    <w:rsid w:val="00B35084"/>
    <w:rsid w:val="00B35B4D"/>
    <w:rsid w:val="00B3642B"/>
    <w:rsid w:val="00B365B1"/>
    <w:rsid w:val="00B40094"/>
    <w:rsid w:val="00B416A3"/>
    <w:rsid w:val="00B44E0A"/>
    <w:rsid w:val="00B472E7"/>
    <w:rsid w:val="00B47494"/>
    <w:rsid w:val="00B477A6"/>
    <w:rsid w:val="00B47DC0"/>
    <w:rsid w:val="00B52CE3"/>
    <w:rsid w:val="00B53305"/>
    <w:rsid w:val="00B534C2"/>
    <w:rsid w:val="00B54D86"/>
    <w:rsid w:val="00B5563A"/>
    <w:rsid w:val="00B57319"/>
    <w:rsid w:val="00B61FFB"/>
    <w:rsid w:val="00B64404"/>
    <w:rsid w:val="00B64FC7"/>
    <w:rsid w:val="00B65984"/>
    <w:rsid w:val="00B6711C"/>
    <w:rsid w:val="00B71D15"/>
    <w:rsid w:val="00B737CE"/>
    <w:rsid w:val="00B7538F"/>
    <w:rsid w:val="00B75741"/>
    <w:rsid w:val="00B759A4"/>
    <w:rsid w:val="00B77343"/>
    <w:rsid w:val="00B778F4"/>
    <w:rsid w:val="00B80EE1"/>
    <w:rsid w:val="00B8170C"/>
    <w:rsid w:val="00B84554"/>
    <w:rsid w:val="00B901CE"/>
    <w:rsid w:val="00B91F7B"/>
    <w:rsid w:val="00B971A0"/>
    <w:rsid w:val="00BA06B1"/>
    <w:rsid w:val="00BA2914"/>
    <w:rsid w:val="00BA2B93"/>
    <w:rsid w:val="00BA51B0"/>
    <w:rsid w:val="00BA63A4"/>
    <w:rsid w:val="00BA6767"/>
    <w:rsid w:val="00BA6C7B"/>
    <w:rsid w:val="00BB2195"/>
    <w:rsid w:val="00BB2652"/>
    <w:rsid w:val="00BB59F9"/>
    <w:rsid w:val="00BB5BAC"/>
    <w:rsid w:val="00BB66CE"/>
    <w:rsid w:val="00BB6A37"/>
    <w:rsid w:val="00BB6B7F"/>
    <w:rsid w:val="00BC4A7F"/>
    <w:rsid w:val="00BC6512"/>
    <w:rsid w:val="00BC7AAB"/>
    <w:rsid w:val="00BD0616"/>
    <w:rsid w:val="00BD07F9"/>
    <w:rsid w:val="00BD0A90"/>
    <w:rsid w:val="00BD0B28"/>
    <w:rsid w:val="00BD1E59"/>
    <w:rsid w:val="00BD2177"/>
    <w:rsid w:val="00BD4C72"/>
    <w:rsid w:val="00BD5803"/>
    <w:rsid w:val="00BD5B23"/>
    <w:rsid w:val="00BD6385"/>
    <w:rsid w:val="00BD7730"/>
    <w:rsid w:val="00BE1059"/>
    <w:rsid w:val="00BE26DD"/>
    <w:rsid w:val="00BE5EAE"/>
    <w:rsid w:val="00BE7C91"/>
    <w:rsid w:val="00BF1F04"/>
    <w:rsid w:val="00BF36D8"/>
    <w:rsid w:val="00BF3896"/>
    <w:rsid w:val="00BF44E9"/>
    <w:rsid w:val="00BF473C"/>
    <w:rsid w:val="00BF5BEA"/>
    <w:rsid w:val="00BF6658"/>
    <w:rsid w:val="00BF6BEC"/>
    <w:rsid w:val="00BF6C4E"/>
    <w:rsid w:val="00BF6CE8"/>
    <w:rsid w:val="00BF7C6C"/>
    <w:rsid w:val="00C00C45"/>
    <w:rsid w:val="00C02A3E"/>
    <w:rsid w:val="00C02BAA"/>
    <w:rsid w:val="00C04515"/>
    <w:rsid w:val="00C05035"/>
    <w:rsid w:val="00C05F60"/>
    <w:rsid w:val="00C0674D"/>
    <w:rsid w:val="00C10E22"/>
    <w:rsid w:val="00C149C7"/>
    <w:rsid w:val="00C166D5"/>
    <w:rsid w:val="00C16DF7"/>
    <w:rsid w:val="00C1787B"/>
    <w:rsid w:val="00C20034"/>
    <w:rsid w:val="00C2351E"/>
    <w:rsid w:val="00C23A69"/>
    <w:rsid w:val="00C240EF"/>
    <w:rsid w:val="00C24FAE"/>
    <w:rsid w:val="00C25BEB"/>
    <w:rsid w:val="00C26BAF"/>
    <w:rsid w:val="00C2752B"/>
    <w:rsid w:val="00C27706"/>
    <w:rsid w:val="00C302E3"/>
    <w:rsid w:val="00C31539"/>
    <w:rsid w:val="00C31DAF"/>
    <w:rsid w:val="00C331AB"/>
    <w:rsid w:val="00C33AEA"/>
    <w:rsid w:val="00C340AC"/>
    <w:rsid w:val="00C34230"/>
    <w:rsid w:val="00C3596F"/>
    <w:rsid w:val="00C400A5"/>
    <w:rsid w:val="00C40B0F"/>
    <w:rsid w:val="00C42D4D"/>
    <w:rsid w:val="00C44056"/>
    <w:rsid w:val="00C47484"/>
    <w:rsid w:val="00C476E4"/>
    <w:rsid w:val="00C50743"/>
    <w:rsid w:val="00C523FD"/>
    <w:rsid w:val="00C539C4"/>
    <w:rsid w:val="00C56007"/>
    <w:rsid w:val="00C56624"/>
    <w:rsid w:val="00C572B9"/>
    <w:rsid w:val="00C61568"/>
    <w:rsid w:val="00C61BE6"/>
    <w:rsid w:val="00C628D7"/>
    <w:rsid w:val="00C62D9B"/>
    <w:rsid w:val="00C67659"/>
    <w:rsid w:val="00C67E38"/>
    <w:rsid w:val="00C67E88"/>
    <w:rsid w:val="00C7010B"/>
    <w:rsid w:val="00C701C4"/>
    <w:rsid w:val="00C71A74"/>
    <w:rsid w:val="00C7264C"/>
    <w:rsid w:val="00C74700"/>
    <w:rsid w:val="00C74827"/>
    <w:rsid w:val="00C81576"/>
    <w:rsid w:val="00C82650"/>
    <w:rsid w:val="00C86C8B"/>
    <w:rsid w:val="00C8708D"/>
    <w:rsid w:val="00C9147F"/>
    <w:rsid w:val="00C9224E"/>
    <w:rsid w:val="00C94540"/>
    <w:rsid w:val="00CA212D"/>
    <w:rsid w:val="00CA312C"/>
    <w:rsid w:val="00CA4B3E"/>
    <w:rsid w:val="00CA5987"/>
    <w:rsid w:val="00CA7826"/>
    <w:rsid w:val="00CB1458"/>
    <w:rsid w:val="00CB2155"/>
    <w:rsid w:val="00CB246B"/>
    <w:rsid w:val="00CB3006"/>
    <w:rsid w:val="00CB3552"/>
    <w:rsid w:val="00CB3756"/>
    <w:rsid w:val="00CB378A"/>
    <w:rsid w:val="00CB42D7"/>
    <w:rsid w:val="00CB520C"/>
    <w:rsid w:val="00CB5C4B"/>
    <w:rsid w:val="00CB63C1"/>
    <w:rsid w:val="00CC0216"/>
    <w:rsid w:val="00CC045B"/>
    <w:rsid w:val="00CC0FD9"/>
    <w:rsid w:val="00CC15EC"/>
    <w:rsid w:val="00CC1682"/>
    <w:rsid w:val="00CC17A0"/>
    <w:rsid w:val="00CC2CE6"/>
    <w:rsid w:val="00CC2D09"/>
    <w:rsid w:val="00CC3B2E"/>
    <w:rsid w:val="00CC3C09"/>
    <w:rsid w:val="00CD26E2"/>
    <w:rsid w:val="00CD32A5"/>
    <w:rsid w:val="00CD4AF5"/>
    <w:rsid w:val="00CD4E71"/>
    <w:rsid w:val="00CD5379"/>
    <w:rsid w:val="00CD5646"/>
    <w:rsid w:val="00CD5CAC"/>
    <w:rsid w:val="00CE213D"/>
    <w:rsid w:val="00CE4E36"/>
    <w:rsid w:val="00CE6C8B"/>
    <w:rsid w:val="00CF3E3A"/>
    <w:rsid w:val="00CF4917"/>
    <w:rsid w:val="00CF49EC"/>
    <w:rsid w:val="00D00178"/>
    <w:rsid w:val="00D02F86"/>
    <w:rsid w:val="00D06116"/>
    <w:rsid w:val="00D07529"/>
    <w:rsid w:val="00D106BA"/>
    <w:rsid w:val="00D1090E"/>
    <w:rsid w:val="00D122E3"/>
    <w:rsid w:val="00D128D7"/>
    <w:rsid w:val="00D1408B"/>
    <w:rsid w:val="00D163E3"/>
    <w:rsid w:val="00D16664"/>
    <w:rsid w:val="00D21C36"/>
    <w:rsid w:val="00D21FDA"/>
    <w:rsid w:val="00D23509"/>
    <w:rsid w:val="00D2412B"/>
    <w:rsid w:val="00D24743"/>
    <w:rsid w:val="00D2647D"/>
    <w:rsid w:val="00D274B3"/>
    <w:rsid w:val="00D279B9"/>
    <w:rsid w:val="00D3037F"/>
    <w:rsid w:val="00D3114C"/>
    <w:rsid w:val="00D322E0"/>
    <w:rsid w:val="00D322E9"/>
    <w:rsid w:val="00D3303F"/>
    <w:rsid w:val="00D33163"/>
    <w:rsid w:val="00D34C9B"/>
    <w:rsid w:val="00D360D1"/>
    <w:rsid w:val="00D37BA9"/>
    <w:rsid w:val="00D402A3"/>
    <w:rsid w:val="00D40895"/>
    <w:rsid w:val="00D4097D"/>
    <w:rsid w:val="00D42FAB"/>
    <w:rsid w:val="00D443A9"/>
    <w:rsid w:val="00D443D0"/>
    <w:rsid w:val="00D44E49"/>
    <w:rsid w:val="00D46C60"/>
    <w:rsid w:val="00D51FCA"/>
    <w:rsid w:val="00D52213"/>
    <w:rsid w:val="00D528AA"/>
    <w:rsid w:val="00D53CC7"/>
    <w:rsid w:val="00D53F85"/>
    <w:rsid w:val="00D55772"/>
    <w:rsid w:val="00D558DD"/>
    <w:rsid w:val="00D56634"/>
    <w:rsid w:val="00D57BB5"/>
    <w:rsid w:val="00D61650"/>
    <w:rsid w:val="00D62098"/>
    <w:rsid w:val="00D65908"/>
    <w:rsid w:val="00D743CA"/>
    <w:rsid w:val="00D74A23"/>
    <w:rsid w:val="00D765FD"/>
    <w:rsid w:val="00D766CC"/>
    <w:rsid w:val="00D80192"/>
    <w:rsid w:val="00D82AAD"/>
    <w:rsid w:val="00D838E7"/>
    <w:rsid w:val="00D83CC7"/>
    <w:rsid w:val="00D8437E"/>
    <w:rsid w:val="00D84478"/>
    <w:rsid w:val="00D85C7C"/>
    <w:rsid w:val="00D86C05"/>
    <w:rsid w:val="00D86EB9"/>
    <w:rsid w:val="00D87129"/>
    <w:rsid w:val="00D87735"/>
    <w:rsid w:val="00D90ABA"/>
    <w:rsid w:val="00D91330"/>
    <w:rsid w:val="00D91828"/>
    <w:rsid w:val="00D93AB2"/>
    <w:rsid w:val="00D93E5E"/>
    <w:rsid w:val="00D97BC9"/>
    <w:rsid w:val="00DA2173"/>
    <w:rsid w:val="00DA26FC"/>
    <w:rsid w:val="00DA3A20"/>
    <w:rsid w:val="00DA4FFA"/>
    <w:rsid w:val="00DA5922"/>
    <w:rsid w:val="00DA5925"/>
    <w:rsid w:val="00DA7143"/>
    <w:rsid w:val="00DB197D"/>
    <w:rsid w:val="00DB1F3A"/>
    <w:rsid w:val="00DB2152"/>
    <w:rsid w:val="00DB29AA"/>
    <w:rsid w:val="00DB2E1A"/>
    <w:rsid w:val="00DB4E03"/>
    <w:rsid w:val="00DB58F9"/>
    <w:rsid w:val="00DB6A8D"/>
    <w:rsid w:val="00DB74B1"/>
    <w:rsid w:val="00DC02AF"/>
    <w:rsid w:val="00DC1984"/>
    <w:rsid w:val="00DC3D1A"/>
    <w:rsid w:val="00DC46E8"/>
    <w:rsid w:val="00DC7BF2"/>
    <w:rsid w:val="00DD253B"/>
    <w:rsid w:val="00DD40C2"/>
    <w:rsid w:val="00DD4670"/>
    <w:rsid w:val="00DD4E63"/>
    <w:rsid w:val="00DD784C"/>
    <w:rsid w:val="00DD7B42"/>
    <w:rsid w:val="00DE0570"/>
    <w:rsid w:val="00DE150B"/>
    <w:rsid w:val="00DE1853"/>
    <w:rsid w:val="00DE3418"/>
    <w:rsid w:val="00DE4E23"/>
    <w:rsid w:val="00DE4EB5"/>
    <w:rsid w:val="00DE5AEA"/>
    <w:rsid w:val="00DF02EE"/>
    <w:rsid w:val="00DF0455"/>
    <w:rsid w:val="00DF2120"/>
    <w:rsid w:val="00DF39BF"/>
    <w:rsid w:val="00DF4CF6"/>
    <w:rsid w:val="00DF4F0F"/>
    <w:rsid w:val="00DF4FE1"/>
    <w:rsid w:val="00DF548D"/>
    <w:rsid w:val="00DF6321"/>
    <w:rsid w:val="00DF7E39"/>
    <w:rsid w:val="00E009C7"/>
    <w:rsid w:val="00E012A2"/>
    <w:rsid w:val="00E01C26"/>
    <w:rsid w:val="00E0209A"/>
    <w:rsid w:val="00E04604"/>
    <w:rsid w:val="00E070D5"/>
    <w:rsid w:val="00E107E3"/>
    <w:rsid w:val="00E11FBD"/>
    <w:rsid w:val="00E1246E"/>
    <w:rsid w:val="00E13375"/>
    <w:rsid w:val="00E13D2E"/>
    <w:rsid w:val="00E177E7"/>
    <w:rsid w:val="00E20B1C"/>
    <w:rsid w:val="00E23BAA"/>
    <w:rsid w:val="00E23FEA"/>
    <w:rsid w:val="00E24376"/>
    <w:rsid w:val="00E2441B"/>
    <w:rsid w:val="00E27063"/>
    <w:rsid w:val="00E30736"/>
    <w:rsid w:val="00E31636"/>
    <w:rsid w:val="00E31974"/>
    <w:rsid w:val="00E341CF"/>
    <w:rsid w:val="00E357B7"/>
    <w:rsid w:val="00E3688B"/>
    <w:rsid w:val="00E408EB"/>
    <w:rsid w:val="00E43A7F"/>
    <w:rsid w:val="00E44648"/>
    <w:rsid w:val="00E463F5"/>
    <w:rsid w:val="00E47E9B"/>
    <w:rsid w:val="00E53B08"/>
    <w:rsid w:val="00E53F93"/>
    <w:rsid w:val="00E567E3"/>
    <w:rsid w:val="00E569FA"/>
    <w:rsid w:val="00E56F58"/>
    <w:rsid w:val="00E56F8A"/>
    <w:rsid w:val="00E6173E"/>
    <w:rsid w:val="00E61871"/>
    <w:rsid w:val="00E622B7"/>
    <w:rsid w:val="00E62430"/>
    <w:rsid w:val="00E62785"/>
    <w:rsid w:val="00E63871"/>
    <w:rsid w:val="00E6567F"/>
    <w:rsid w:val="00E661AE"/>
    <w:rsid w:val="00E70DBA"/>
    <w:rsid w:val="00E71A42"/>
    <w:rsid w:val="00E73697"/>
    <w:rsid w:val="00E74497"/>
    <w:rsid w:val="00E76CD0"/>
    <w:rsid w:val="00E76FF4"/>
    <w:rsid w:val="00E80EDD"/>
    <w:rsid w:val="00E814F8"/>
    <w:rsid w:val="00E823A5"/>
    <w:rsid w:val="00E829A6"/>
    <w:rsid w:val="00E840B2"/>
    <w:rsid w:val="00E84AB2"/>
    <w:rsid w:val="00E85679"/>
    <w:rsid w:val="00E857EF"/>
    <w:rsid w:val="00E866B3"/>
    <w:rsid w:val="00E90CB1"/>
    <w:rsid w:val="00E90FFC"/>
    <w:rsid w:val="00E91D32"/>
    <w:rsid w:val="00E93B0A"/>
    <w:rsid w:val="00E94B9B"/>
    <w:rsid w:val="00E9650B"/>
    <w:rsid w:val="00E96865"/>
    <w:rsid w:val="00E978C1"/>
    <w:rsid w:val="00E97D19"/>
    <w:rsid w:val="00EA040D"/>
    <w:rsid w:val="00EA1240"/>
    <w:rsid w:val="00EA14A7"/>
    <w:rsid w:val="00EA2635"/>
    <w:rsid w:val="00EA3100"/>
    <w:rsid w:val="00EA31D7"/>
    <w:rsid w:val="00EA4CE7"/>
    <w:rsid w:val="00EA4E26"/>
    <w:rsid w:val="00EA55CD"/>
    <w:rsid w:val="00EA5CD9"/>
    <w:rsid w:val="00EA5D75"/>
    <w:rsid w:val="00EA65D7"/>
    <w:rsid w:val="00EA67DC"/>
    <w:rsid w:val="00EA7A15"/>
    <w:rsid w:val="00EA7E7C"/>
    <w:rsid w:val="00EB0561"/>
    <w:rsid w:val="00EB1894"/>
    <w:rsid w:val="00EB362E"/>
    <w:rsid w:val="00EB38AD"/>
    <w:rsid w:val="00EB3C4F"/>
    <w:rsid w:val="00EB3D24"/>
    <w:rsid w:val="00EB551A"/>
    <w:rsid w:val="00EB5EC2"/>
    <w:rsid w:val="00EB69CE"/>
    <w:rsid w:val="00EB6BC2"/>
    <w:rsid w:val="00EB79BB"/>
    <w:rsid w:val="00EB7DD9"/>
    <w:rsid w:val="00EC1B60"/>
    <w:rsid w:val="00EC3582"/>
    <w:rsid w:val="00EC507C"/>
    <w:rsid w:val="00ED1CF6"/>
    <w:rsid w:val="00ED34C2"/>
    <w:rsid w:val="00ED3638"/>
    <w:rsid w:val="00ED4927"/>
    <w:rsid w:val="00ED6A07"/>
    <w:rsid w:val="00ED6FC9"/>
    <w:rsid w:val="00ED7351"/>
    <w:rsid w:val="00ED7520"/>
    <w:rsid w:val="00EE207E"/>
    <w:rsid w:val="00EE610B"/>
    <w:rsid w:val="00EE7C4A"/>
    <w:rsid w:val="00EF1A7B"/>
    <w:rsid w:val="00EF1FB8"/>
    <w:rsid w:val="00EF2D01"/>
    <w:rsid w:val="00EF657A"/>
    <w:rsid w:val="00EF6C48"/>
    <w:rsid w:val="00EF71BE"/>
    <w:rsid w:val="00EF7698"/>
    <w:rsid w:val="00F00689"/>
    <w:rsid w:val="00F00C9A"/>
    <w:rsid w:val="00F022C8"/>
    <w:rsid w:val="00F02E35"/>
    <w:rsid w:val="00F04447"/>
    <w:rsid w:val="00F04878"/>
    <w:rsid w:val="00F04AF8"/>
    <w:rsid w:val="00F04E5B"/>
    <w:rsid w:val="00F06A06"/>
    <w:rsid w:val="00F10C77"/>
    <w:rsid w:val="00F13B41"/>
    <w:rsid w:val="00F15C41"/>
    <w:rsid w:val="00F16ACB"/>
    <w:rsid w:val="00F17ED6"/>
    <w:rsid w:val="00F20BEA"/>
    <w:rsid w:val="00F21690"/>
    <w:rsid w:val="00F23D03"/>
    <w:rsid w:val="00F24725"/>
    <w:rsid w:val="00F2627D"/>
    <w:rsid w:val="00F2774A"/>
    <w:rsid w:val="00F2794D"/>
    <w:rsid w:val="00F40CF3"/>
    <w:rsid w:val="00F410E3"/>
    <w:rsid w:val="00F41183"/>
    <w:rsid w:val="00F43B49"/>
    <w:rsid w:val="00F44F6B"/>
    <w:rsid w:val="00F45343"/>
    <w:rsid w:val="00F46304"/>
    <w:rsid w:val="00F530E4"/>
    <w:rsid w:val="00F53C6D"/>
    <w:rsid w:val="00F54150"/>
    <w:rsid w:val="00F60110"/>
    <w:rsid w:val="00F6048A"/>
    <w:rsid w:val="00F7020D"/>
    <w:rsid w:val="00F71B19"/>
    <w:rsid w:val="00F73B26"/>
    <w:rsid w:val="00F73DF8"/>
    <w:rsid w:val="00F74731"/>
    <w:rsid w:val="00F74905"/>
    <w:rsid w:val="00F74E1F"/>
    <w:rsid w:val="00F76803"/>
    <w:rsid w:val="00F76F33"/>
    <w:rsid w:val="00F7703E"/>
    <w:rsid w:val="00F77E8C"/>
    <w:rsid w:val="00F816F4"/>
    <w:rsid w:val="00F825CF"/>
    <w:rsid w:val="00F839B1"/>
    <w:rsid w:val="00F86135"/>
    <w:rsid w:val="00F86DE5"/>
    <w:rsid w:val="00F87645"/>
    <w:rsid w:val="00F907F4"/>
    <w:rsid w:val="00F91AA2"/>
    <w:rsid w:val="00F938B9"/>
    <w:rsid w:val="00F940FD"/>
    <w:rsid w:val="00F94EC8"/>
    <w:rsid w:val="00F96A17"/>
    <w:rsid w:val="00F970C7"/>
    <w:rsid w:val="00F975BF"/>
    <w:rsid w:val="00FA21EC"/>
    <w:rsid w:val="00FA3FEB"/>
    <w:rsid w:val="00FA43D0"/>
    <w:rsid w:val="00FA49F9"/>
    <w:rsid w:val="00FA67B5"/>
    <w:rsid w:val="00FB154D"/>
    <w:rsid w:val="00FB185A"/>
    <w:rsid w:val="00FB19BF"/>
    <w:rsid w:val="00FB2BD0"/>
    <w:rsid w:val="00FB377A"/>
    <w:rsid w:val="00FB40DD"/>
    <w:rsid w:val="00FB5693"/>
    <w:rsid w:val="00FC12C3"/>
    <w:rsid w:val="00FC181C"/>
    <w:rsid w:val="00FC2234"/>
    <w:rsid w:val="00FC299B"/>
    <w:rsid w:val="00FC4FC0"/>
    <w:rsid w:val="00FC597D"/>
    <w:rsid w:val="00FC7FB4"/>
    <w:rsid w:val="00FD0BAA"/>
    <w:rsid w:val="00FD1AFA"/>
    <w:rsid w:val="00FD598C"/>
    <w:rsid w:val="00FD7A4E"/>
    <w:rsid w:val="00FE063D"/>
    <w:rsid w:val="00FE200D"/>
    <w:rsid w:val="00FF0FF5"/>
    <w:rsid w:val="00FF2C05"/>
    <w:rsid w:val="00FF333A"/>
    <w:rsid w:val="00FF5F5E"/>
    <w:rsid w:val="00FF7229"/>
    <w:rsid w:val="00FF7A14"/>
    <w:rsid w:val="00FF7D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6C2636"/>
  <w15:chartTrackingRefBased/>
  <w15:docId w15:val="{41270E9D-BA9B-4E4F-AFA0-C4F56D76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locked="0" w:qFormat="1"/>
    <w:lsdException w:name="heading 3" w:locked="0" w:qFormat="1"/>
    <w:lsdException w:name="heading 4" w:locked="0" w:semiHidden="1" w:unhideWhenUsed="1" w:qFormat="1"/>
    <w:lsdException w:name="heading 5" w:locked="0"/>
    <w:lsdException w:name="heading 6" w:locked="0"/>
    <w:lsdException w:name="heading 7" w:locked="0"/>
    <w:lsdException w:name="heading 8" w:locked="0"/>
    <w:lsdException w:name="heading 9" w:locked="0"/>
    <w:lsdException w:name="header" w:locked="0" w:qFormat="1"/>
    <w:lsdException w:name="footer" w:locked="0" w:qFormat="1"/>
    <w:lsdException w:name="caption" w:locked="0"/>
    <w:lsdException w:name="page number" w:locked="0"/>
    <w:lsdException w:name="Title" w:locked="0" w:qFormat="1"/>
    <w:lsdException w:name="Default Paragraph Font" w:locked="0"/>
    <w:lsdException w:name="Body Text" w:locked="0"/>
    <w:lsdException w:name="List Continue 2" w:locked="0"/>
    <w:lsdException w:name="Hyperlink" w:locked="0"/>
    <w:lsdException w:name="Strong" w:uiPriority="22" w:qFormat="1"/>
    <w:lsdException w:name="Emphasis" w:uiPriority="20" w:qFormat="1"/>
    <w:lsdException w:name="HTML Top of Form" w:locked="0"/>
    <w:lsdException w:name="HTML Bottom of Form" w:locked="0"/>
    <w:lsdException w:name="Normal (Web)" w:locked="0"/>
    <w:lsdException w:name="Normal Table" w:locked="0" w:semiHidden="1" w:unhideWhenUsed="1"/>
    <w:lsdException w:name="No List" w:locked="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0"/>
    <w:lsdException w:name="Table Theme" w:semiHidden="1" w:unhideWhenUsed="1"/>
    <w:lsdException w:name="Placeholder Text" w:locked="0"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locked="0" w:semiHidden="1" w:uiPriority="99" w:unhideWhenUsed="1"/>
    <w:lsdException w:name="Smart Link" w:semiHidden="1" w:uiPriority="99" w:unhideWhenUsed="1"/>
  </w:latentStyles>
  <w:style w:type="paragraph" w:default="1" w:styleId="Normal">
    <w:name w:val="Normal"/>
    <w:qFormat/>
    <w:rsid w:val="005A39BD"/>
    <w:pPr>
      <w:spacing w:after="180"/>
      <w:jc w:val="both"/>
    </w:pPr>
    <w:rPr>
      <w:rFonts w:ascii="Aptos" w:hAnsi="Aptos"/>
      <w:lang w:val="en-US" w:eastAsia="en-US"/>
    </w:rPr>
  </w:style>
  <w:style w:type="paragraph" w:styleId="Heading1">
    <w:name w:val="heading 1"/>
    <w:basedOn w:val="Normal"/>
    <w:next w:val="Normal"/>
    <w:link w:val="Heading1Char"/>
    <w:qFormat/>
    <w:rsid w:val="007A0B0A"/>
    <w:pPr>
      <w:keepNext/>
      <w:numPr>
        <w:numId w:val="4"/>
      </w:numPr>
      <w:spacing w:before="60" w:after="60"/>
      <w:outlineLvl w:val="0"/>
    </w:pPr>
    <w:rPr>
      <w:b/>
      <w:caps/>
      <w:kern w:val="28"/>
    </w:rPr>
  </w:style>
  <w:style w:type="paragraph" w:styleId="Heading2">
    <w:name w:val="heading 2"/>
    <w:basedOn w:val="ListContinue2"/>
    <w:next w:val="Normal"/>
    <w:link w:val="Heading2Char"/>
    <w:qFormat/>
    <w:rsid w:val="008D7189"/>
    <w:pPr>
      <w:keepNext/>
      <w:numPr>
        <w:ilvl w:val="1"/>
        <w:numId w:val="4"/>
      </w:numPr>
      <w:spacing w:before="60" w:after="60"/>
      <w:ind w:left="454" w:hanging="454"/>
      <w:jc w:val="left"/>
      <w:outlineLvl w:val="1"/>
    </w:pPr>
    <w:rPr>
      <w:b/>
    </w:rPr>
  </w:style>
  <w:style w:type="paragraph" w:styleId="Heading3">
    <w:name w:val="heading 3"/>
    <w:basedOn w:val="Normal"/>
    <w:next w:val="Normal"/>
    <w:qFormat/>
    <w:rsid w:val="002F7911"/>
    <w:pPr>
      <w:keepNext/>
      <w:numPr>
        <w:ilvl w:val="2"/>
        <w:numId w:val="4"/>
      </w:numPr>
      <w:spacing w:before="60" w:after="60"/>
      <w:outlineLvl w:val="2"/>
    </w:pPr>
  </w:style>
  <w:style w:type="paragraph" w:styleId="Heading4">
    <w:name w:val="heading 4"/>
    <w:basedOn w:val="Normal"/>
    <w:next w:val="Normal"/>
    <w:link w:val="Heading4Char"/>
    <w:semiHidden/>
    <w:unhideWhenUsed/>
    <w:qFormat/>
    <w:locked/>
    <w:rsid w:val="00581759"/>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BodyText"/>
    <w:locked/>
    <w:pPr>
      <w:keepNext/>
      <w:numPr>
        <w:ilvl w:val="4"/>
        <w:numId w:val="4"/>
      </w:numPr>
      <w:tabs>
        <w:tab w:val="right" w:pos="8309"/>
      </w:tabs>
      <w:spacing w:after="0" w:line="360" w:lineRule="auto"/>
      <w:jc w:val="center"/>
      <w:outlineLvl w:val="4"/>
    </w:pPr>
    <w:rPr>
      <w:i/>
      <w:kern w:val="28"/>
      <w:sz w:val="24"/>
    </w:rPr>
  </w:style>
  <w:style w:type="paragraph" w:styleId="Heading6">
    <w:name w:val="heading 6"/>
    <w:basedOn w:val="Normal"/>
    <w:next w:val="BodyText"/>
    <w:locked/>
    <w:pPr>
      <w:keepNext/>
      <w:numPr>
        <w:ilvl w:val="5"/>
        <w:numId w:val="4"/>
      </w:numPr>
      <w:tabs>
        <w:tab w:val="right" w:pos="8309"/>
      </w:tabs>
      <w:spacing w:before="120" w:after="80"/>
      <w:jc w:val="center"/>
      <w:outlineLvl w:val="5"/>
    </w:pPr>
    <w:rPr>
      <w:smallCaps/>
      <w:spacing w:val="20"/>
      <w:kern w:val="28"/>
      <w:sz w:val="24"/>
    </w:rPr>
  </w:style>
  <w:style w:type="paragraph" w:styleId="Heading7">
    <w:name w:val="heading 7"/>
    <w:basedOn w:val="Normal"/>
    <w:next w:val="BodyText"/>
    <w:locked/>
    <w:pPr>
      <w:keepNext/>
      <w:numPr>
        <w:ilvl w:val="6"/>
        <w:numId w:val="4"/>
      </w:numPr>
      <w:tabs>
        <w:tab w:val="right" w:pos="8309"/>
      </w:tabs>
      <w:spacing w:before="80" w:after="60"/>
      <w:outlineLvl w:val="6"/>
    </w:pPr>
    <w:rPr>
      <w:caps/>
      <w:kern w:val="28"/>
      <w:sz w:val="24"/>
    </w:rPr>
  </w:style>
  <w:style w:type="paragraph" w:styleId="Heading8">
    <w:name w:val="heading 8"/>
    <w:basedOn w:val="Normal"/>
    <w:next w:val="BodyText"/>
    <w:locked/>
    <w:pPr>
      <w:keepNext/>
      <w:numPr>
        <w:ilvl w:val="7"/>
        <w:numId w:val="4"/>
      </w:numPr>
      <w:tabs>
        <w:tab w:val="right" w:pos="8309"/>
      </w:tabs>
      <w:spacing w:after="0" w:line="360" w:lineRule="auto"/>
      <w:jc w:val="center"/>
      <w:outlineLvl w:val="7"/>
    </w:pPr>
    <w:rPr>
      <w:kern w:val="28"/>
      <w:sz w:val="24"/>
    </w:rPr>
  </w:style>
  <w:style w:type="paragraph" w:styleId="Heading9">
    <w:name w:val="heading 9"/>
    <w:basedOn w:val="Normal"/>
    <w:next w:val="BodyText"/>
    <w:locked/>
    <w:pPr>
      <w:keepNext/>
      <w:numPr>
        <w:ilvl w:val="8"/>
        <w:numId w:val="4"/>
      </w:numPr>
      <w:tabs>
        <w:tab w:val="right" w:pos="8309"/>
      </w:tabs>
      <w:spacing w:after="0" w:line="360" w:lineRule="auto"/>
      <w:outlineLvl w:val="8"/>
    </w:pPr>
    <w:rPr>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locked/>
    <w:pPr>
      <w:spacing w:before="40" w:after="0"/>
    </w:pPr>
    <w:rPr>
      <w:sz w:val="24"/>
    </w:rPr>
  </w:style>
  <w:style w:type="paragraph" w:styleId="Caption">
    <w:name w:val="caption"/>
    <w:basedOn w:val="Normal"/>
    <w:next w:val="Normal"/>
    <w:link w:val="CaptionChar"/>
    <w:locked/>
    <w:pPr>
      <w:spacing w:before="120" w:after="120"/>
    </w:pPr>
    <w:rPr>
      <w:b/>
    </w:rPr>
  </w:style>
  <w:style w:type="paragraph" w:styleId="Title">
    <w:name w:val="Title"/>
    <w:basedOn w:val="Normal"/>
    <w:link w:val="TitleChar"/>
    <w:qFormat/>
    <w:rsid w:val="00CB378A"/>
    <w:pPr>
      <w:spacing w:before="240" w:after="60"/>
      <w:jc w:val="center"/>
      <w:outlineLvl w:val="0"/>
    </w:pPr>
    <w:rPr>
      <w:b/>
      <w:kern w:val="28"/>
      <w:sz w:val="24"/>
    </w:rPr>
  </w:style>
  <w:style w:type="paragraph" w:styleId="Header">
    <w:name w:val="header"/>
    <w:basedOn w:val="Normal"/>
    <w:qFormat/>
    <w:pPr>
      <w:tabs>
        <w:tab w:val="center" w:pos="4320"/>
        <w:tab w:val="right" w:pos="8640"/>
      </w:tabs>
    </w:pPr>
  </w:style>
  <w:style w:type="paragraph" w:customStyle="1" w:styleId="Author">
    <w:name w:val="Author"/>
    <w:basedOn w:val="Title"/>
    <w:qFormat/>
    <w:rsid w:val="00DF4F0F"/>
    <w:rPr>
      <w:b w:val="0"/>
      <w:sz w:val="20"/>
    </w:rPr>
  </w:style>
  <w:style w:type="paragraph" w:customStyle="1" w:styleId="Address">
    <w:name w:val="Address"/>
    <w:basedOn w:val="Normal"/>
    <w:qFormat/>
    <w:rsid w:val="00DF4F0F"/>
    <w:pPr>
      <w:spacing w:after="60"/>
      <w:jc w:val="center"/>
    </w:pPr>
  </w:style>
  <w:style w:type="paragraph" w:customStyle="1" w:styleId="Equation">
    <w:name w:val="Equation"/>
    <w:basedOn w:val="Normal"/>
    <w:qFormat/>
    <w:pPr>
      <w:jc w:val="right"/>
    </w:pPr>
  </w:style>
  <w:style w:type="paragraph" w:customStyle="1" w:styleId="Figure">
    <w:name w:val="Figure"/>
    <w:basedOn w:val="Normal"/>
    <w:next w:val="Normal"/>
    <w:qFormat/>
    <w:pPr>
      <w:keepNext/>
      <w:keepLines/>
      <w:jc w:val="center"/>
    </w:pPr>
  </w:style>
  <w:style w:type="paragraph" w:customStyle="1" w:styleId="Reference">
    <w:name w:val="Reference"/>
    <w:basedOn w:val="Normal"/>
    <w:qFormat/>
    <w:pPr>
      <w:spacing w:after="120"/>
      <w:ind w:left="360" w:hanging="360"/>
    </w:pPr>
  </w:style>
  <w:style w:type="paragraph" w:styleId="Footer">
    <w:name w:val="footer"/>
    <w:basedOn w:val="Normal"/>
    <w:qFormat/>
    <w:pPr>
      <w:tabs>
        <w:tab w:val="center" w:pos="4320"/>
        <w:tab w:val="right" w:pos="8640"/>
      </w:tabs>
    </w:pPr>
  </w:style>
  <w:style w:type="character" w:styleId="PageNumber">
    <w:name w:val="page number"/>
    <w:basedOn w:val="DefaultParagraphFont"/>
    <w:locked/>
  </w:style>
  <w:style w:type="paragraph" w:customStyle="1" w:styleId="References">
    <w:name w:val="References"/>
    <w:basedOn w:val="para"/>
    <w:locked/>
    <w:pPr>
      <w:numPr>
        <w:numId w:val="1"/>
      </w:numPr>
      <w:tabs>
        <w:tab w:val="clear" w:pos="360"/>
        <w:tab w:val="left" w:pos="245"/>
      </w:tabs>
    </w:pPr>
    <w:rPr>
      <w:sz w:val="18"/>
    </w:rPr>
  </w:style>
  <w:style w:type="paragraph" w:customStyle="1" w:styleId="para">
    <w:name w:val="para"/>
    <w:basedOn w:val="Normal"/>
    <w:next w:val="Normal"/>
    <w:locked/>
    <w:pPr>
      <w:spacing w:after="0"/>
    </w:pPr>
    <w:rPr>
      <w:sz w:val="24"/>
    </w:rPr>
  </w:style>
  <w:style w:type="paragraph" w:customStyle="1" w:styleId="FigCaption">
    <w:name w:val="FigCaption"/>
    <w:basedOn w:val="Caption"/>
    <w:next w:val="Normal"/>
    <w:link w:val="FigCaptionChar"/>
    <w:qFormat/>
    <w:rsid w:val="00C302E3"/>
    <w:pPr>
      <w:spacing w:before="60"/>
    </w:pPr>
  </w:style>
  <w:style w:type="paragraph" w:customStyle="1" w:styleId="Heading">
    <w:name w:val="Heading"/>
    <w:basedOn w:val="Heading1"/>
    <w:next w:val="Normal"/>
    <w:qFormat/>
    <w:rsid w:val="00236677"/>
    <w:pPr>
      <w:numPr>
        <w:numId w:val="0"/>
      </w:numPr>
    </w:pPr>
  </w:style>
  <w:style w:type="character" w:customStyle="1" w:styleId="Heading1Char">
    <w:name w:val="Heading 1 Char"/>
    <w:basedOn w:val="DefaultParagraphFont"/>
    <w:link w:val="Heading1"/>
    <w:rsid w:val="0029605E"/>
    <w:rPr>
      <w:rFonts w:ascii="Aptos" w:hAnsi="Aptos"/>
      <w:b/>
      <w:caps/>
      <w:kern w:val="28"/>
      <w:lang w:val="en-US" w:eastAsia="en-US"/>
    </w:rPr>
  </w:style>
  <w:style w:type="character" w:styleId="Hyperlink">
    <w:name w:val="Hyperlink"/>
    <w:basedOn w:val="DefaultParagraphFont"/>
    <w:locked/>
    <w:rsid w:val="00322896"/>
    <w:rPr>
      <w:color w:val="0563C1" w:themeColor="hyperlink"/>
      <w:u w:val="single"/>
    </w:rPr>
  </w:style>
  <w:style w:type="character" w:styleId="UnresolvedMention">
    <w:name w:val="Unresolved Mention"/>
    <w:basedOn w:val="DefaultParagraphFont"/>
    <w:uiPriority w:val="99"/>
    <w:semiHidden/>
    <w:unhideWhenUsed/>
    <w:locked/>
    <w:rsid w:val="00322896"/>
    <w:rPr>
      <w:color w:val="605E5C"/>
      <w:shd w:val="clear" w:color="auto" w:fill="E1DFDD"/>
    </w:rPr>
  </w:style>
  <w:style w:type="character" w:customStyle="1" w:styleId="Heading2Char">
    <w:name w:val="Heading 2 Char"/>
    <w:basedOn w:val="DefaultParagraphFont"/>
    <w:link w:val="Heading2"/>
    <w:rsid w:val="008D7189"/>
    <w:rPr>
      <w:rFonts w:ascii="Aptos" w:hAnsi="Aptos"/>
      <w:b/>
      <w:lang w:val="en-US" w:eastAsia="en-US"/>
    </w:rPr>
  </w:style>
  <w:style w:type="character" w:customStyle="1" w:styleId="Heading4Char">
    <w:name w:val="Heading 4 Char"/>
    <w:basedOn w:val="DefaultParagraphFont"/>
    <w:link w:val="Heading4"/>
    <w:semiHidden/>
    <w:rsid w:val="00581759"/>
    <w:rPr>
      <w:rFonts w:asciiTheme="majorHAnsi" w:eastAsiaTheme="majorEastAsia" w:hAnsiTheme="majorHAnsi" w:cstheme="majorBidi"/>
      <w:i/>
      <w:iCs/>
      <w:color w:val="2F5496" w:themeColor="accent1" w:themeShade="BF"/>
      <w:lang w:val="en-US" w:eastAsia="en-US"/>
    </w:rPr>
  </w:style>
  <w:style w:type="paragraph" w:styleId="ListContinue2">
    <w:name w:val="List Continue 2"/>
    <w:basedOn w:val="Normal"/>
    <w:locked/>
    <w:rsid w:val="00063B99"/>
    <w:pPr>
      <w:spacing w:after="120"/>
      <w:ind w:left="566"/>
      <w:contextualSpacing/>
    </w:pPr>
  </w:style>
  <w:style w:type="paragraph" w:customStyle="1" w:styleId="TableCaption">
    <w:name w:val="TableCaption"/>
    <w:basedOn w:val="Normal"/>
    <w:next w:val="Normal"/>
    <w:link w:val="TableCaptionChar"/>
    <w:qFormat/>
    <w:rsid w:val="00595D48"/>
    <w:pPr>
      <w:spacing w:before="120" w:after="120"/>
    </w:pPr>
    <w:rPr>
      <w:b/>
    </w:rPr>
  </w:style>
  <w:style w:type="character" w:customStyle="1" w:styleId="CaptionChar">
    <w:name w:val="Caption Char"/>
    <w:basedOn w:val="DefaultParagraphFont"/>
    <w:link w:val="Caption"/>
    <w:rsid w:val="00BE7C91"/>
    <w:rPr>
      <w:rFonts w:ascii="Aptos" w:hAnsi="Aptos"/>
      <w:b/>
      <w:lang w:val="en-US" w:eastAsia="en-US"/>
    </w:rPr>
  </w:style>
  <w:style w:type="character" w:customStyle="1" w:styleId="FigCaptionChar">
    <w:name w:val="FigCaption Char"/>
    <w:basedOn w:val="CaptionChar"/>
    <w:link w:val="FigCaption"/>
    <w:rsid w:val="00BE7C91"/>
    <w:rPr>
      <w:rFonts w:ascii="Aptos" w:hAnsi="Aptos"/>
      <w:b/>
      <w:lang w:val="en-US" w:eastAsia="en-US"/>
    </w:rPr>
  </w:style>
  <w:style w:type="character" w:customStyle="1" w:styleId="TableCaptionChar">
    <w:name w:val="TableCaption Char"/>
    <w:basedOn w:val="FigCaptionChar"/>
    <w:link w:val="TableCaption"/>
    <w:rsid w:val="00595D48"/>
    <w:rPr>
      <w:rFonts w:ascii="Aptos" w:hAnsi="Aptos"/>
      <w:b/>
      <w:lang w:val="en-US" w:eastAsia="en-US"/>
    </w:rPr>
  </w:style>
  <w:style w:type="table" w:styleId="TableGrid">
    <w:name w:val="Table Grid"/>
    <w:basedOn w:val="TableNormal"/>
    <w:locked/>
    <w:rsid w:val="00EF76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next w:val="Normal"/>
    <w:link w:val="TableChar"/>
    <w:qFormat/>
    <w:rsid w:val="0019156A"/>
    <w:pPr>
      <w:jc w:val="center"/>
    </w:pPr>
  </w:style>
  <w:style w:type="character" w:customStyle="1" w:styleId="TableChar">
    <w:name w:val="Table Char"/>
    <w:basedOn w:val="DefaultParagraphFont"/>
    <w:link w:val="Table"/>
    <w:rsid w:val="0019156A"/>
    <w:rPr>
      <w:rFonts w:ascii="Aptos" w:hAnsi="Aptos"/>
      <w:lang w:val="en-US" w:eastAsia="en-US"/>
    </w:rPr>
  </w:style>
  <w:style w:type="character" w:styleId="PlaceholderText">
    <w:name w:val="Placeholder Text"/>
    <w:basedOn w:val="DefaultParagraphFont"/>
    <w:uiPriority w:val="99"/>
    <w:semiHidden/>
    <w:locked/>
    <w:rsid w:val="007944D7"/>
    <w:rPr>
      <w:color w:val="666666"/>
    </w:rPr>
  </w:style>
  <w:style w:type="paragraph" w:customStyle="1" w:styleId="AcknowStyle">
    <w:name w:val="AcknowStyle"/>
    <w:basedOn w:val="Heading2"/>
    <w:link w:val="AcknowStyleChar"/>
    <w:qFormat/>
    <w:rsid w:val="00FB154D"/>
    <w:pPr>
      <w:numPr>
        <w:ilvl w:val="0"/>
        <w:numId w:val="0"/>
      </w:numPr>
    </w:pPr>
  </w:style>
  <w:style w:type="character" w:customStyle="1" w:styleId="AcknowStyleChar">
    <w:name w:val="AcknowStyle Char"/>
    <w:basedOn w:val="Heading2Char"/>
    <w:link w:val="AcknowStyle"/>
    <w:rsid w:val="00C9147F"/>
    <w:rPr>
      <w:rFonts w:ascii="Aptos" w:hAnsi="Aptos"/>
      <w:b/>
      <w:lang w:val="en-US" w:eastAsia="en-US"/>
    </w:rPr>
  </w:style>
  <w:style w:type="numbering" w:customStyle="1" w:styleId="BulletList">
    <w:name w:val="BulletList"/>
    <w:basedOn w:val="NoList"/>
    <w:uiPriority w:val="99"/>
    <w:rsid w:val="00A93B17"/>
    <w:pPr>
      <w:numPr>
        <w:numId w:val="6"/>
      </w:numPr>
    </w:pPr>
  </w:style>
  <w:style w:type="paragraph" w:styleId="ListParagraph">
    <w:name w:val="List Paragraph"/>
    <w:basedOn w:val="Normal"/>
    <w:uiPriority w:val="34"/>
    <w:locked/>
    <w:rsid w:val="00A93B17"/>
    <w:pPr>
      <w:ind w:left="720"/>
      <w:contextualSpacing/>
    </w:pPr>
  </w:style>
  <w:style w:type="numbering" w:customStyle="1" w:styleId="BulletList1">
    <w:name w:val="BulletList1"/>
    <w:basedOn w:val="NoList"/>
    <w:uiPriority w:val="99"/>
    <w:rsid w:val="009F6381"/>
    <w:pPr>
      <w:numPr>
        <w:numId w:val="8"/>
      </w:numPr>
    </w:pPr>
  </w:style>
  <w:style w:type="paragraph" w:customStyle="1" w:styleId="ListBullets">
    <w:name w:val="ListBullets"/>
    <w:basedOn w:val="Normal"/>
    <w:next w:val="Normal"/>
    <w:qFormat/>
    <w:rsid w:val="00F23D03"/>
    <w:pPr>
      <w:numPr>
        <w:numId w:val="9"/>
      </w:numPr>
      <w:ind w:left="1208" w:hanging="357"/>
    </w:pPr>
  </w:style>
  <w:style w:type="character" w:customStyle="1" w:styleId="BodyTextChar">
    <w:name w:val="Body Text Char"/>
    <w:basedOn w:val="DefaultParagraphFont"/>
    <w:link w:val="BodyText"/>
    <w:rsid w:val="007A30A3"/>
    <w:rPr>
      <w:rFonts w:ascii="Aptos" w:hAnsi="Aptos"/>
      <w:sz w:val="24"/>
      <w:lang w:val="en-US" w:eastAsia="en-US"/>
    </w:rPr>
  </w:style>
  <w:style w:type="paragraph" w:customStyle="1" w:styleId="ListNumbers">
    <w:name w:val="ListNumbers"/>
    <w:basedOn w:val="ListBullets"/>
    <w:next w:val="Normal"/>
    <w:qFormat/>
    <w:rsid w:val="00DA26FC"/>
    <w:pPr>
      <w:numPr>
        <w:numId w:val="21"/>
      </w:numPr>
      <w:ind w:left="1208" w:hanging="357"/>
    </w:pPr>
  </w:style>
  <w:style w:type="paragraph" w:customStyle="1" w:styleId="NormalS">
    <w:name w:val="NormalS"/>
    <w:basedOn w:val="Normal"/>
    <w:next w:val="Normal"/>
    <w:qFormat/>
    <w:rsid w:val="00901954"/>
    <w:rPr>
      <w:vertAlign w:val="subscript"/>
    </w:rPr>
  </w:style>
  <w:style w:type="paragraph" w:customStyle="1" w:styleId="NormalSS">
    <w:name w:val="NormalSS"/>
    <w:basedOn w:val="Normal"/>
    <w:next w:val="Normal"/>
    <w:qFormat/>
    <w:rsid w:val="001C1B34"/>
    <w:rPr>
      <w:vertAlign w:val="superscript"/>
    </w:rPr>
  </w:style>
  <w:style w:type="paragraph" w:styleId="Revision">
    <w:name w:val="Revision"/>
    <w:hidden/>
    <w:uiPriority w:val="99"/>
    <w:semiHidden/>
    <w:rsid w:val="00DB6A8D"/>
    <w:rPr>
      <w:rFonts w:ascii="Aptos" w:hAnsi="Aptos"/>
      <w:lang w:val="en-US" w:eastAsia="en-US"/>
    </w:rPr>
  </w:style>
  <w:style w:type="character" w:customStyle="1" w:styleId="TitleChar">
    <w:name w:val="Title Char"/>
    <w:basedOn w:val="DefaultParagraphFont"/>
    <w:link w:val="Title"/>
    <w:rsid w:val="00DE4EB5"/>
    <w:rPr>
      <w:rFonts w:ascii="Aptos" w:hAnsi="Aptos"/>
      <w:b/>
      <w:kern w:val="28"/>
      <w:sz w:val="24"/>
      <w:lang w:val="en-US" w:eastAsia="en-US"/>
    </w:rPr>
  </w:style>
  <w:style w:type="character" w:styleId="Strong">
    <w:name w:val="Strong"/>
    <w:basedOn w:val="DefaultParagraphFont"/>
    <w:uiPriority w:val="22"/>
    <w:qFormat/>
    <w:locked/>
    <w:rsid w:val="00DF6321"/>
    <w:rPr>
      <w:b/>
      <w:bCs/>
    </w:rPr>
  </w:style>
  <w:style w:type="character" w:styleId="Emphasis">
    <w:name w:val="Emphasis"/>
    <w:basedOn w:val="DefaultParagraphFont"/>
    <w:uiPriority w:val="20"/>
    <w:qFormat/>
    <w:locked/>
    <w:rsid w:val="004F1CC1"/>
    <w:rPr>
      <w:i/>
      <w:iCs/>
    </w:rPr>
  </w:style>
  <w:style w:type="paragraph" w:styleId="NormalWeb">
    <w:name w:val="Normal (Web)"/>
    <w:basedOn w:val="Normal"/>
    <w:rsid w:val="00083BD2"/>
    <w:rPr>
      <w:rFonts w:ascii="Times New Roman" w:hAnsi="Times New Roman"/>
      <w:sz w:val="24"/>
      <w:szCs w:val="24"/>
    </w:rPr>
  </w:style>
  <w:style w:type="character" w:styleId="CommentReference">
    <w:name w:val="annotation reference"/>
    <w:basedOn w:val="DefaultParagraphFont"/>
    <w:locked/>
    <w:rsid w:val="004E65FC"/>
    <w:rPr>
      <w:sz w:val="16"/>
      <w:szCs w:val="16"/>
    </w:rPr>
  </w:style>
  <w:style w:type="paragraph" w:styleId="CommentText">
    <w:name w:val="annotation text"/>
    <w:basedOn w:val="Normal"/>
    <w:link w:val="CommentTextChar"/>
    <w:locked/>
    <w:rsid w:val="004E65FC"/>
  </w:style>
  <w:style w:type="character" w:customStyle="1" w:styleId="CommentTextChar">
    <w:name w:val="Comment Text Char"/>
    <w:basedOn w:val="DefaultParagraphFont"/>
    <w:link w:val="CommentText"/>
    <w:rsid w:val="004E65FC"/>
    <w:rPr>
      <w:rFonts w:ascii="Aptos" w:hAnsi="Aptos"/>
      <w:lang w:val="en-US" w:eastAsia="en-US"/>
    </w:rPr>
  </w:style>
  <w:style w:type="paragraph" w:styleId="CommentSubject">
    <w:name w:val="annotation subject"/>
    <w:basedOn w:val="CommentText"/>
    <w:next w:val="CommentText"/>
    <w:link w:val="CommentSubjectChar"/>
    <w:locked/>
    <w:rsid w:val="004E65FC"/>
    <w:rPr>
      <w:b/>
      <w:bCs/>
    </w:rPr>
  </w:style>
  <w:style w:type="character" w:customStyle="1" w:styleId="CommentSubjectChar">
    <w:name w:val="Comment Subject Char"/>
    <w:basedOn w:val="CommentTextChar"/>
    <w:link w:val="CommentSubject"/>
    <w:rsid w:val="004E65FC"/>
    <w:rPr>
      <w:rFonts w:ascii="Aptos" w:hAnsi="Aptos"/>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robi\OneDrive\IGA\World%20Geothermal%20Congress\WGC%202026\Stuff%20from%20WGC2023\Stuff%20from%20WGC2023\Templates\WGC2023%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7FF35-A7ED-47CE-9226-9E74CC46E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C:\Users\hrobi\OneDrive\IGA\World Geothermal Congress\WGC 2026\Stuff from WGC2023\Stuff from WGC2023\Templates\WGC2023 Paper Template.dotx</Template>
  <TotalTime>1</TotalTime>
  <Pages>10</Pages>
  <Words>5978</Words>
  <Characters>34079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Steam-Water Relative Permeability</vt:lpstr>
    </vt:vector>
  </TitlesOfParts>
  <Company>Petroleum Engineering</Company>
  <LinksUpToDate>false</LinksUpToDate>
  <CharactersWithSpaces>39978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Steam-Water Relative Permeability</dc:title>
  <dc:subject/>
  <dc:creator>Helen Robinson</dc:creator>
  <cp:keywords/>
  <cp:lastModifiedBy>Tami Miguens</cp:lastModifiedBy>
  <cp:revision>5</cp:revision>
  <cp:lastPrinted>2025-12-01T21:34:00Z</cp:lastPrinted>
  <dcterms:created xsi:type="dcterms:W3CDTF">2025-12-01T21:35:00Z</dcterms:created>
  <dcterms:modified xsi:type="dcterms:W3CDTF">2025-12-01T22:08:00Z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3771b484-00d0-4e12-a04a-35615a046ea0</vt:lpwstr>
  </property>
</Properties>
</file>