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 xml:space="preserve">Keywords: Consciousness, </w:t>
      </w:r>
      <w:r>
        <w:rPr/>
        <w:t>Meta-cognition, Meta-management</w:t>
      </w:r>
      <w:r>
        <w:rPr/>
        <w:t>, Biosemiotic Process, Recurrent Process</w:t>
      </w:r>
    </w:p>
    <w:p>
      <w:pPr>
        <w:pStyle w:val="AuthorList"/>
        <w:rPr/>
      </w:pPr>
      <w:r>
        <w:rPr/>
        <w:t>Abstract</w:t>
      </w:r>
    </w:p>
    <w:p>
      <w:pPr>
        <w:pStyle w:val="Normal"/>
        <w:rPr>
          <w:szCs w:val="24"/>
        </w:rPr>
      </w:pPr>
      <w:r>
        <w:rPr>
          <w:szCs w:val="24"/>
        </w:rPr>
        <w:t>todo</w:t>
      </w:r>
    </w:p>
    <w:p>
      <w:pPr>
        <w:pStyle w:val="Heading1"/>
        <w:rPr/>
      </w:pPr>
      <w:r>
        <w:rPr/>
        <w:t>Introduction</w:t>
      </w:r>
    </w:p>
    <w:p>
      <w:pPr>
        <w:pStyle w:val="Normal"/>
        <w:spacing w:before="120" w:after="0"/>
        <w:rPr/>
      </w:pPr>
      <w:r>
        <w:rPr/>
        <w:t>Why do we have subjective experience of our perceptions and of our mind's thoughts? This question can be broken into three distinct sub-questions. Firstly, what are the mechanisms underlying the cognitive processing associated with subjective experience? Secondly, why do those processes produce the effect of subjective experience, whereas other processes do not?</w:t>
      </w:r>
      <w:r>
        <w:rPr/>
        <w:t xml:space="preserve"> And thirdly, what functional purpose does subjective experience carry over and above similar processes that are not associated with subjective experience?</w:t>
      </w:r>
    </w:p>
    <w:p>
      <w:pPr>
        <w:pStyle w:val="Normal"/>
        <w:spacing w:before="120" w:after="0"/>
        <w:rPr/>
      </w:pPr>
      <w:r>
        <w:rPr/>
        <w:t>A number of theories of consciousness (TOCs) have been developed, which would attempt to answer some of those questions. The most detailed are based on a computational model of the brain. .... These theories focus primarily on the first question of subjective experience - what are the underlying mechanisms? They also attempt to answer the second question of subjective experience.... But they rarely delve into the third question. Instead, usually they make vague references to the need for adaptation in complex environments.</w:t>
      </w:r>
    </w:p>
    <w:p>
      <w:pPr>
        <w:pStyle w:val="Normal"/>
        <w:spacing w:before="120" w:after="0"/>
        <w:rPr/>
      </w:pPr>
      <w:r>
        <w:rPr/>
        <w:t>But what is adaptation? And what ...........</w:t>
      </w:r>
    </w:p>
    <w:p>
      <w:pPr>
        <w:pStyle w:val="Normal"/>
        <w:spacing w:before="120" w:after="0"/>
        <w:rPr/>
      </w:pPr>
      <w:commentRangeStart w:id="0"/>
      <w:r>
        <w:rPr/>
        <w:t>Consciousness</w:t>
      </w:r>
      <w:r>
        <w:rPr/>
      </w:r>
      <w:commentRangeEnd w:id="0"/>
      <w:r>
        <w:commentReference w:id="0"/>
      </w:r>
      <w:r>
        <w:rPr/>
        <w:t xml:space="preserve"> </w:t>
      </w:r>
      <w:r>
        <w:rPr/>
        <w:t xml:space="preserve">is </w:t>
      </w:r>
      <w:r>
        <w:rPr/>
        <w:t>often touted as being there to support adaptation. TOC</w:t>
      </w:r>
      <w:r>
        <w:rPr/>
        <w:t>s</w:t>
      </w:r>
      <w:r>
        <w:rPr/>
        <w:t xml:space="preserve"> don't really cover how they support adaptation at low level. Also, it's not clear what adaptation really means at the low level. Meta cognition covers one particularly pertinent area -knowledge of knowledge and processes. It would appear to support adaptation. But it doesn't cover the low level mechanisms.</w:t>
      </w:r>
    </w:p>
    <w:p>
      <w:pPr>
        <w:pStyle w:val="Normal"/>
        <w:spacing w:before="120" w:after="0"/>
        <w:rPr/>
      </w:pPr>
      <w:r>
        <w:rPr/>
        <w:t xml:space="preserve">Complex agents in complex envs need complex meta management systems, because they have loops. </w:t>
      </w:r>
      <w:r>
        <w:rPr/>
        <w:t>....</w:t>
      </w:r>
    </w:p>
    <w:p>
      <w:pPr>
        <w:pStyle w:val="Normal"/>
        <w:spacing w:before="120" w:after="0"/>
        <w:rPr/>
      </w:pPr>
      <w:r>
        <w:rPr/>
        <w:t>This paper makes the</w:t>
      </w:r>
      <w:r>
        <w:rPr/>
        <w:t xml:space="preserve"> claim that the management systems underlying those </w:t>
      </w:r>
      <w:r>
        <w:rPr/>
        <w:t>complex</w:t>
      </w:r>
      <w:r>
        <w:rPr/>
        <w:t xml:space="preserve"> agents necessitate self referential awareness and control, and that this is at the heart of </w:t>
      </w:r>
      <w:r>
        <w:rPr/>
        <w:t>subjective awareness</w:t>
      </w:r>
      <w:r>
        <w:rPr/>
        <w:t xml:space="preserve">. To explain that, I will build up the case from first principles, and look at exactly what those low level mechanisms may be. </w:t>
      </w:r>
      <w:r>
        <w:rPr/>
        <w:t>This strengthens the existing claims that meta-cognition is fundamentally intertwined with consciousness, and it provides a link between the lower-level mechanisms described within TOCs and the higher-level observations of meta-cognition.</w:t>
      </w:r>
    </w:p>
    <w:p>
      <w:pPr>
        <w:pStyle w:val="Normal"/>
        <w:spacing w:before="120" w:after="0"/>
        <w:rPr/>
      </w:pPr>
      <w:r>
        <w:rPr/>
        <w:t>The rest of this paper is organized as follows. A brief summary of research programmes into meta-cognition and computational theories of consciousness is presented with some of the issues faced by them. A case is then presented for the specific needs of meta-management within computational models. This is followed by a discussion of potential architectures, drawing out their relative strengths and weaknesses. Finally, those architectures are related back to the study of meta-cognition and consciousness, and an argument is presented for the architectures underlying human meta-cognition. The paper concludes by discussing future directions and speculating on the development of artificial systems that employ these architectures.</w:t>
      </w:r>
    </w:p>
    <w:p>
      <w:pPr>
        <w:pStyle w:val="Normal"/>
        <w:rPr/>
      </w:pPr>
      <w:r>
        <w:rPr/>
      </w:r>
    </w:p>
    <w:p>
      <w:pPr>
        <w:pStyle w:val="Heading1"/>
        <w:rPr/>
      </w:pPr>
      <w:r>
        <w:rPr/>
        <w:t>Introduction</w:t>
      </w:r>
    </w:p>
    <w:p>
      <w:pPr>
        <w:pStyle w:val="Normal"/>
        <w:rPr/>
      </w:pPr>
      <w:r>
        <w:rPr/>
        <w:t>....to redo....</w:t>
      </w:r>
    </w:p>
    <w:p>
      <w:pPr>
        <w:pStyle w:val="Normal"/>
        <w:rPr>
          <w:strike w:val="false"/>
          <w:dstrike w:val="false"/>
        </w:rPr>
      </w:pPr>
      <w:r>
        <w:rPr>
          <w:strike w:val="false"/>
          <w:dstrike w:val="false"/>
        </w:rPr>
        <w:t>..</w:t>
      </w:r>
    </w:p>
    <w:p>
      <w:pPr>
        <w:pStyle w:val="Normal"/>
        <w:rPr>
          <w:strike w:val="false"/>
          <w:dstrike w:val="false"/>
        </w:rPr>
      </w:pPr>
      <w:r>
        <w:rPr>
          <w:strike w:val="false"/>
          <w:dstrike w:val="false"/>
        </w:rPr>
        <w:t>...what am I really trying to say here?</w:t>
      </w:r>
    </w:p>
    <w:p>
      <w:pPr>
        <w:pStyle w:val="Normal"/>
        <w:rPr>
          <w:strike w:val="false"/>
          <w:dstrike w:val="false"/>
        </w:rPr>
      </w:pPr>
      <w:r>
        <w:rPr>
          <w:strike w:val="false"/>
          <w:dstrike w:val="false"/>
        </w:rPr>
        <w:t>...meta-cognition has issued, theories of consciousness have issues, I'm interested in consciousness. I can help both by linking these high-level theories to lower-level mechanisms. And to wrap it up, I'll circle back to meta-cognition via semiotics, and suggest how that shows the link to consciousness.</w:t>
      </w:r>
    </w:p>
    <w:p>
      <w:pPr>
        <w:pStyle w:val="Normal"/>
        <w:rPr>
          <w:strike w:val="false"/>
          <w:dstrike w:val="false"/>
        </w:rPr>
      </w:pPr>
      <w:r>
        <w:rPr>
          <w:strike w:val="false"/>
          <w:dstrike w:val="false"/>
        </w:rPr>
        <w:t>...I haven't introduced anything about meta-cognition, and haven't really suggested anything about consciousness in the intro yet, so it's going to be hard to tie back to those in both the end of the intro and the main content.</w:t>
      </w:r>
    </w:p>
    <w:p>
      <w:pPr>
        <w:pStyle w:val="Normal"/>
        <w:rPr>
          <w:strike w:val="false"/>
          <w:dstrike w:val="false"/>
        </w:rPr>
      </w:pPr>
      <w:r>
        <w:rPr>
          <w:strike w:val="false"/>
          <w:dstrike w:val="false"/>
        </w:rPr>
        <w:t>..Fundamentally I don't want to write a technical paper about meta-management, although that could be the paper's focus on its own. I want to add to consciousness research. But then, I originally created the Visceral Loop as a general purpose model.</w:t>
      </w:r>
    </w:p>
    <w:p>
      <w:pPr>
        <w:pStyle w:val="Normal"/>
        <w:rPr>
          <w:strike w:val="false"/>
          <w:dstrike w:val="false"/>
        </w:rPr>
      </w:pPr>
      <w:r>
        <w:rPr>
          <w:strike w:val="false"/>
          <w:dstrike w:val="false"/>
        </w:rPr>
        <w:t>I could stop midway then: meta-cognition. Half-way between pure technical and consciousness. End by tieing back to meta-cognition's struggles with identifying what's meta-cognitive and what's first-order. Using consciousness as the measuring device, rather than studying it specifically, we can show that lab results help us identify which architecture is plausible, and thus help to discriminate within meta-cognitive research.</w:t>
      </w:r>
    </w:p>
    <w:p>
      <w:pPr>
        <w:pStyle w:val="Normal"/>
        <w:rPr>
          <w:strike w:val="false"/>
          <w:dstrike w:val="false"/>
        </w:rPr>
      </w:pPr>
      <w:r>
        <w:rPr>
          <w:strike w:val="false"/>
          <w:dstrike w:val="false"/>
        </w:rPr>
        <w:t>..</w:t>
      </w:r>
    </w:p>
    <w:p>
      <w:pPr>
        <w:pStyle w:val="Normal"/>
        <w:rPr/>
      </w:pPr>
      <w:r>
        <w:rPr/>
      </w:r>
    </w:p>
    <w:p>
      <w:pPr>
        <w:pStyle w:val="Heading1"/>
        <w:rPr/>
      </w:pPr>
      <w:r>
        <w:rPr/>
        <w:t>Meta-cognition</w:t>
      </w:r>
    </w:p>
    <w:p>
      <w:pPr>
        <w:pStyle w:val="Normal"/>
        <w:rPr/>
      </w:pPr>
      <w:r>
        <w:rPr/>
        <w:t xml:space="preserve">In ..{year}.. it was found that people who had a better understanding of their own learning abilities, learned better. People with more awareness of their learning abilities developed better learning strategies to leverage their strengths, while working around their limitations (eg: using mnemonics to improve memory). Thus the field of </w:t>
      </w:r>
      <w:r>
        <w:rPr>
          <w:i/>
          <w:iCs/>
        </w:rPr>
        <w:t>meta-cognition</w:t>
      </w:r>
      <w:r>
        <w:rPr/>
        <w:t xml:space="preserve"> was born - to study the mechanisms whereby people can monitor their own mental behaviors and use that knowledge for adaptation. ......need to list some lab-observed behaviors......</w:t>
      </w:r>
    </w:p>
    <w:p>
      <w:pPr>
        <w:pStyle w:val="Normal"/>
        <w:rPr/>
      </w:pPr>
      <w:r>
        <w:rPr/>
        <w:t>Meta-cognition is defined as knowledge about one's own knowledge.....</w:t>
      </w:r>
    </w:p>
    <w:p>
      <w:pPr>
        <w:pStyle w:val="Normal"/>
        <w:rPr/>
      </w:pPr>
      <w:r>
        <w:rPr/>
        <w:t>The study of meta-cognition has a particular relevancy to the study of consciousness. Why do we have conscious experiential awareness of our external perceptions? Wh</w:t>
      </w:r>
      <w:r>
        <w:rPr/>
        <w:t>y</w:t>
      </w:r>
      <w:r>
        <w:rPr/>
        <w:t xml:space="preserve"> do we have conscious experiential awareness of some aspects of our own mind's state (eg: inner thoughts)? Theories attempting to explain the evolutionary advantage of this conscious awareness generally implicate adaptive flexibility. But they fail to explain precisely what kinds of adaptive flexibility need conscious awareness, and why conscious awareness is needed for those adaptive flexibilities. The study of meta-cognition provides insight because it specifically addresses questions around our ability to know aspects of our own mind's state.</w:t>
      </w:r>
    </w:p>
    <w:p>
      <w:pPr>
        <w:pStyle w:val="Normal"/>
        <w:bidi w:val="0"/>
        <w:rPr/>
      </w:pPr>
      <w:r>
        <w:rPr/>
        <w:t>But meta-cognition studies are embroiled in debate about which lab-observed behaviors are truly meta-cognitive. Many of the claimed behaviors might be explained by unconscious processes. And lab results are hard to interpret – eg: the difficulty is separating activated brain regions from involvement in the original meta-cognition versus the production of verbal report? Thus, a deeper understanding of the low-level mechanisms underlying meta-cognition would help significantly to untangle the confusion.</w:t>
      </w:r>
    </w:p>
    <w:p>
      <w:pPr>
        <w:pStyle w:val="Normal"/>
        <w:rPr/>
      </w:pPr>
      <w:r>
        <w:rPr/>
        <w:t>Define: first-order processes.</w:t>
      </w:r>
    </w:p>
    <w:p>
      <w:pPr>
        <w:pStyle w:val="Normal"/>
        <w:rPr/>
      </w:pPr>
      <w:r>
        <w:rPr/>
        <w:t xml:space="preserve">Meta-cognition has been variously studied in terms of so called "feelings of knowing" where one thinks they know the answer before recalling the answer itself (Rosenthal, 2012; Shimamura, 2000; </w:t>
      </w:r>
      <w:r>
        <w:rPr>
          <w:color w:val="333132"/>
        </w:rPr>
        <w:t>Metcalfe &amp; Shimamura, 1994</w:t>
      </w:r>
      <w:r>
        <w:rPr/>
        <w:t xml:space="preserve">), memory of the source of knowledge or other memories (Dunlosky &amp; Bjork, </w:t>
      </w:r>
      <w:r>
        <w:rPr>
          <w:color w:val="333132"/>
        </w:rPr>
        <w:t>2008; Shimamura, 2000; Fernandez-Duque, 2000; Bejamin et al, 1998; Metcalfe &amp; Shimamura, 1994</w:t>
      </w:r>
      <w:r>
        <w:rPr/>
        <w:t xml:space="preserve">), judgements of certainty and error detection (Carruthers &amp; Williams, 2022; </w:t>
      </w:r>
      <w:r>
        <w:rPr>
          <w:color w:val="303030"/>
        </w:rPr>
        <w:t>Cleeremens, 2020; Whitmarsh, Oostenveld, Almeida &amp; Lundqvist, 2017; Fernandez Cruz et al, 2016; Paul et al, 2015; Fleming et al "Metacognition..." 2012; Fleming et al "Prefrontal..." 2012; Shimamura, 2000; Fernandez-Duque, 2000</w:t>
      </w:r>
      <w:r>
        <w:rPr/>
        <w:t>), classification of first-order outcomes into knowledge, hope, fear, regret, etc. (Cleeremans et al, 2007), identification of links between separately obtained knowledge (Clark &amp; Karmiloff-Smith, 1993; Karmiloff-Smith, 1992), representing the absence of knowledge (</w:t>
      </w:r>
      <w:r>
        <w:rPr>
          <w:color w:val="303030"/>
        </w:rPr>
        <w:t>Fleming et al "Metacognition..." 2012</w:t>
      </w:r>
      <w:r>
        <w:rPr/>
        <w:t>), selection of strategies for memory, learning, life-span approaches (</w:t>
      </w:r>
      <w:r>
        <w:rPr>
          <w:color w:val="303030"/>
        </w:rPr>
        <w:t>Marković et al, 2021; Shimamura, 2000</w:t>
      </w:r>
      <w:r>
        <w:rPr/>
        <w:t>), learning higher-level objectives (Timmermans et al, 2012), trading off between exploration and exploiting existing knowledge (</w:t>
      </w:r>
      <w:r>
        <w:rPr>
          <w:color w:val="303030"/>
        </w:rPr>
        <w:t>Marković et al, 2021</w:t>
      </w:r>
      <w:r>
        <w:rPr/>
        <w:t xml:space="preserve">), balancing effort vs benefits of possible behaviors (Carruthers &amp; Williams, 2022; </w:t>
      </w:r>
      <w:r>
        <w:rPr>
          <w:color w:val="303030"/>
        </w:rPr>
        <w:t>Marković et al, 2021; Peters, 2010; Fernandez-Duque, 2000</w:t>
      </w:r>
      <w:r>
        <w:rPr/>
        <w:t>), planning (</w:t>
      </w:r>
      <w:r>
        <w:rPr>
          <w:color w:val="303030"/>
        </w:rPr>
        <w:t xml:space="preserve">Marković et al, 2021; Cleeremens, 2020; Fernandez-Duque, 2000), </w:t>
      </w:r>
      <w:r>
        <w:rPr/>
        <w:t>monitoring and predicting first-order dynamics (</w:t>
      </w:r>
      <w:r>
        <w:rPr>
          <w:color w:val="303030"/>
        </w:rPr>
        <w:t xml:space="preserve">Cleeremens, 2020; Fleming et al "Metacognition..." 2012; Timmermans et al, 2012; Cleeremans et al, 2007; Peters, 2010), </w:t>
      </w:r>
      <w:r>
        <w:rPr/>
        <w:t xml:space="preserve">control of attention (Whitmarsh, Oostenveld, Almeida &amp; Lundqvist, 2017; Shimamura, 2000), control over working-memory (Whitmarsh, Oostenveld, Almeida &amp; Lundqvist, 2017; Shimamura, 2000), internal conflict resolution (Shimamura, 2000; </w:t>
      </w:r>
      <w:r>
        <w:rPr>
          <w:color w:val="303030"/>
        </w:rPr>
        <w:t>Fernandez-Duque, 2000</w:t>
      </w:r>
      <w:r>
        <w:rPr/>
        <w:t xml:space="preserve">), maintenance of cognitive homeostatic needs (Peters, 2010; Shimamura, 2000), emotion regulation (Shimamura, 2000), theory of mind (Carruthers &amp; Williams, 2022; </w:t>
      </w:r>
      <w:r>
        <w:rPr>
          <w:color w:val="303030"/>
        </w:rPr>
        <w:t>Cleeremens, 2020</w:t>
      </w:r>
      <w:r>
        <w:rPr/>
        <w:t>), and in support of social cooperation by enabling a group to identify the individual who is most certain about some decision point  (</w:t>
      </w:r>
      <w:r>
        <w:rPr>
          <w:color w:val="303030"/>
        </w:rPr>
        <w:t>Cleeremens, 2020; Fleming et al "Metacognition..." 2012; Fleming et al "Prefrontal..." 2012; Cleeremans et al, 2007</w:t>
      </w:r>
      <w:r>
        <w:rPr/>
        <w:t>).</w:t>
      </w:r>
    </w:p>
    <w:p>
      <w:pPr>
        <w:pStyle w:val="Normal"/>
        <w:rPr/>
      </w:pPr>
      <w:r>
        <w:rPr/>
        <w:t>Meta-cognition can be viewed as having a few aspects:</w:t>
      </w:r>
    </w:p>
    <w:p>
      <w:pPr>
        <w:pStyle w:val="Normal"/>
        <w:numPr>
          <w:ilvl w:val="0"/>
          <w:numId w:val="5"/>
        </w:numPr>
        <w:rPr/>
      </w:pPr>
      <w:r>
        <w:rPr/>
        <w:t>meta-representation ...explain...</w:t>
      </w:r>
    </w:p>
    <w:p>
      <w:pPr>
        <w:pStyle w:val="Normal"/>
        <w:numPr>
          <w:ilvl w:val="0"/>
          <w:numId w:val="5"/>
        </w:numPr>
        <w:rPr/>
      </w:pPr>
      <w:r>
        <w:rPr/>
        <w:t>meta-control (observation only vs control) ...explain...</w:t>
      </w:r>
    </w:p>
    <w:p>
      <w:pPr>
        <w:pStyle w:val="Normal"/>
        <w:numPr>
          <w:ilvl w:val="0"/>
          <w:numId w:val="5"/>
        </w:numPr>
        <w:rPr/>
      </w:pPr>
      <w:r>
        <w:rPr/>
        <w:t>first-order vs conscious processes ...explain...</w:t>
      </w:r>
    </w:p>
    <w:p>
      <w:pPr>
        <w:pStyle w:val="Normal"/>
        <w:rPr/>
      </w:pPr>
      <w:r>
        <w:rPr/>
        <w:t>Some running questions have cropped up out of those studies:</w:t>
      </w:r>
    </w:p>
    <w:p>
      <w:pPr>
        <w:pStyle w:val="Normal"/>
        <w:numPr>
          <w:ilvl w:val="0"/>
          <w:numId w:val="4"/>
        </w:numPr>
        <w:rPr/>
      </w:pPr>
      <w:r>
        <w:rPr/>
        <w:t>To what extent does meta-cognition actually need meta-representations? ...examples...</w:t>
      </w:r>
    </w:p>
    <w:p>
      <w:pPr>
        <w:pStyle w:val="Normal"/>
        <w:numPr>
          <w:ilvl w:val="0"/>
          <w:numId w:val="4"/>
        </w:numPr>
        <w:rPr/>
      </w:pPr>
      <w:r>
        <w:rPr/>
        <w:t>To what extent are meta-cognitive processes truly conscious? Or are they just first-order processes that influence verbal report without direct conscious access? ...examples...</w:t>
      </w:r>
    </w:p>
    <w:p>
      <w:pPr>
        <w:pStyle w:val="Normal"/>
        <w:numPr>
          <w:ilvl w:val="0"/>
          <w:numId w:val="4"/>
        </w:numPr>
        <w:rPr/>
      </w:pPr>
      <w:r>
        <w:rPr/>
        <w:t>axis:</w:t>
      </w:r>
    </w:p>
    <w:p>
      <w:pPr>
        <w:pStyle w:val="Normal"/>
        <w:numPr>
          <w:ilvl w:val="1"/>
          <w:numId w:val="4"/>
        </w:numPr>
        <w:rPr/>
      </w:pPr>
      <w:r>
        <w:rPr>
          <w:color w:val="212121"/>
        </w:rPr>
        <w:t xml:space="preserve">with/without meta-representation </w:t>
      </w:r>
    </w:p>
    <w:p>
      <w:pPr>
        <w:pStyle w:val="Normal"/>
        <w:numPr>
          <w:ilvl w:val="1"/>
          <w:numId w:val="4"/>
        </w:numPr>
        <w:rPr/>
      </w:pPr>
      <w:r>
        <w:rPr>
          <w:color w:val="212121"/>
        </w:rPr>
        <w:t>first-order only vs higher-order network architectures</w:t>
      </w:r>
    </w:p>
    <w:p>
      <w:pPr>
        <w:pStyle w:val="Normal"/>
        <w:numPr>
          <w:ilvl w:val="1"/>
          <w:numId w:val="4"/>
        </w:numPr>
        <w:rPr/>
      </w:pPr>
      <w:r>
        <w:rPr>
          <w:color w:val="212121"/>
        </w:rPr>
        <w:t>extent to which different human meta-cognitive behaviours employ meta-management.</w:t>
      </w:r>
    </w:p>
    <w:p>
      <w:pPr>
        <w:pStyle w:val="Normal"/>
        <w:numPr>
          <w:ilvl w:val="1"/>
          <w:numId w:val="4"/>
        </w:numPr>
        <w:rPr/>
      </w:pPr>
      <w:r>
        <w:rPr>
          <w:color w:val="212121"/>
        </w:rPr>
        <w:t>relationship to conscious experience.</w:t>
      </w:r>
    </w:p>
    <w:p>
      <w:pPr>
        <w:pStyle w:val="Normal"/>
        <w:numPr>
          <w:ilvl w:val="1"/>
          <w:numId w:val="4"/>
        </w:numPr>
        <w:rPr/>
      </w:pPr>
      <w:r>
        <w:rPr>
          <w:color w:val="212121"/>
        </w:rPr>
        <w:t>caught up in questions about whether consciousness has any functional purpose (Rosenthal, etc)</w:t>
      </w:r>
    </w:p>
    <w:p>
      <w:pPr>
        <w:pStyle w:val="Heading1"/>
        <w:rPr/>
      </w:pPr>
      <w:r>
        <w:rPr/>
        <w:t>Computational Theories of Consciousness</w:t>
      </w:r>
    </w:p>
    <w:p>
      <w:pPr>
        <w:pStyle w:val="Normal"/>
        <w:bidi w:val="0"/>
        <w:rPr/>
      </w:pPr>
      <w:r>
        <w:rPr/>
        <w:t xml:space="preserve">Computational theories of consciousness promise to provide the mechanisms underlying consciousness, and this should hopefully cover some of the processes of meta-cognition. For example, Global Workspace Theory (GWT) posits that groups of functionally specialized processes cooperate to boost their collective signal strength and thus gain the right to broadcast to all other processes within the system, via the so-called </w:t>
      </w:r>
      <w:r>
        <w:rPr>
          <w:i/>
          <w:iCs/>
        </w:rPr>
        <w:t>global workspace</w:t>
      </w:r>
      <w:r>
        <w:rPr/>
        <w:t xml:space="preserve">. Stable collaborations between such processes form contextual </w:t>
      </w:r>
      <w:r>
        <w:rPr>
          <w:i/>
          <w:iCs/>
        </w:rPr>
        <w:t>frames</w:t>
      </w:r>
      <w:r>
        <w:rPr/>
        <w:t>, which influence the behaviors of other processes. Thus, changing external circumstances can be quickly adapted to by changing the set of collaborating processes.</w:t>
      </w:r>
    </w:p>
    <w:p>
      <w:pPr>
        <w:pStyle w:val="Normal"/>
        <w:bidi w:val="0"/>
        <w:rPr/>
      </w:pPr>
      <w:r>
        <w:rPr/>
        <w:t>However, GWT is described at a very high level. Furthermore, it fails to develop the mechanisms needed to ensure that the system as a whole is stable, and how an agent built on the theory would learn its objectives and act towards those objectives. GWT, and all other computational theories of consciousness, define a system having internal state. That internal state must be managed somehow as it interacts with perceptions of external state, governs the processes operating within the system, and becomes updated as a result of those perceptions and processes. Many computational theories of consciousness fail to cover this area at all. Others that do focus on the state management processes (eg: bayesian models of consciousness, discussed later) either fail to link back to adaptive flexibility, or do so only in a high level manner.</w:t>
      </w:r>
    </w:p>
    <w:p>
      <w:pPr>
        <w:pStyle w:val="Normal"/>
        <w:bidi w:val="0"/>
        <w:rPr/>
      </w:pPr>
      <w:r>
        <w:rPr/>
        <w:t xml:space="preserve">Thus, the studies of meta-cognition and computational theories of consciousness would both benefit from a more in-depth investigation of the processes and mechanisms for management of the changing internal state that influences perceptions and actions. This is the area of </w:t>
      </w:r>
      <w:r>
        <w:rPr>
          <w:i/>
          <w:iCs/>
        </w:rPr>
        <w:t>meta-management</w:t>
      </w:r>
      <w:r>
        <w:rPr/>
        <w:t xml:space="preserve"> </w:t>
      </w:r>
      <w:r>
        <w:rPr>
          <w:strike w:val="false"/>
          <w:dstrike w:val="false"/>
        </w:rPr>
        <w:t>(the more general, non-biological, equivalent of meta-cognition).</w:t>
      </w:r>
    </w:p>
    <w:p>
      <w:pPr>
        <w:pStyle w:val="Normal"/>
        <w:bidi w:val="0"/>
        <w:rPr/>
      </w:pPr>
      <w:r>
        <w:rPr/>
        <w:t>The focused study of meta-management will i) identify the problem spaces that require explicit meta-management, ii) elucidate mechanisms of meta-management, iii) help to resolve some of the confusions in meta-cognitive research, and iv) add to the growing body of techniques that are useful in development of artificial intelligence (AI) systems.</w:t>
      </w:r>
    </w:p>
    <w:p>
      <w:pPr>
        <w:pStyle w:val="Normal"/>
        <w:rPr>
          <w:strike w:val="false"/>
          <w:dstrike w:val="false"/>
        </w:rPr>
      </w:pPr>
      <w:r>
        <w:rPr>
          <w:strike w:val="false"/>
          <w:dstrike w:val="false"/>
        </w:rPr>
        <w:t xml:space="preserve">This paper attempts to untangle the meta-cognition research confusion by relating biological meta-cognitive needs to the need for </w:t>
      </w:r>
      <w:r>
        <w:rPr>
          <w:i w:val="false"/>
          <w:iCs w:val="false"/>
          <w:strike w:val="false"/>
          <w:dstrike w:val="false"/>
        </w:rPr>
        <w:t>meta-management</w:t>
      </w:r>
      <w:r>
        <w:rPr>
          <w:strike w:val="false"/>
          <w:dstrike w:val="false"/>
        </w:rPr>
        <w:t xml:space="preserve"> processes within artificial computational models. An argument is presented for the need of specific adaptive abilities within computational models, and for the meta-management processes that can underlie those adaptive abilities.</w:t>
      </w:r>
    </w:p>
    <w:p>
      <w:pPr>
        <w:pStyle w:val="Normal"/>
        <w:rPr/>
      </w:pPr>
      <w:r>
        <w:rPr/>
        <w:t>GWT</w:t>
      </w:r>
    </w:p>
    <w:p>
      <w:pPr>
        <w:pStyle w:val="Normal"/>
        <w:rPr/>
      </w:pPr>
      <w:r>
        <w:rPr/>
        <w:t>HOT</w:t>
      </w:r>
    </w:p>
    <w:p>
      <w:pPr>
        <w:pStyle w:val="Normal"/>
        <w:rPr/>
      </w:pPr>
      <w:r>
        <w:rPr/>
        <w:t>Bayesian Models</w:t>
      </w:r>
    </w:p>
    <w:p>
      <w:pPr>
        <w:pStyle w:val="Normal"/>
        <w:rPr/>
      </w:pPr>
      <w:r>
        <w:rPr/>
        <w:t>Bayesian models view much of brain operation as a system for predicting latent state, and for predicting actions that move latent state towards a preferred latent state. Thus conscious perception is  inferred latent state.</w:t>
      </w:r>
    </w:p>
    <w:p>
      <w:pPr>
        <w:pStyle w:val="Normal"/>
        <w:rPr/>
      </w:pPr>
      <w:r>
        <w:rPr/>
        <w:t>This provides a useful backbone to meta-cognition, as inference over brain state.</w:t>
      </w:r>
    </w:p>
    <w:p>
      <w:pPr>
        <w:pStyle w:val="Normal"/>
        <w:rPr/>
      </w:pPr>
      <w:r>
        <w:rPr/>
        <w:t>IIT?</w:t>
      </w:r>
    </w:p>
    <w:p>
      <w:pPr>
        <w:pStyle w:val="Heading1"/>
        <w:rPr/>
      </w:pPr>
      <w:r>
        <w:rPr/>
        <w:t>Regulatory Agents</w:t>
      </w:r>
    </w:p>
    <w:p>
      <w:pPr>
        <w:pStyle w:val="Normal"/>
        <w:rPr/>
      </w:pPr>
      <w:r>
        <w:rPr/>
        <w:t>Before discussing meta-management, the case must be made for why it is necessary in the first place. The following sections present that case, starting from basic principles.</w:t>
      </w:r>
    </w:p>
    <w:p>
      <w:pPr>
        <w:pStyle w:val="Heading2"/>
        <w:rPr/>
      </w:pPr>
      <w:r>
        <w:rPr/>
        <w:t>State Machines</w:t>
      </w:r>
    </w:p>
    <w:p>
      <w:pPr>
        <w:pStyle w:val="Normal"/>
        <w:rPr/>
      </w:pPr>
      <w:r>
        <w:rPr/>
        <w:t>...theories of consciousness describe brain as a state machine.....</w:t>
      </w:r>
    </w:p>
    <w:p>
      <w:pPr>
        <w:pStyle w:val="Normal"/>
        <w:rPr/>
      </w:pPr>
      <w:r>
        <w:rPr/>
        <w:t>(define: state machine, computational theories, computational state)</w:t>
      </w:r>
    </w:p>
    <w:p>
      <w:pPr>
        <w:pStyle w:val="Normal"/>
        <w:rPr/>
      </w:pPr>
      <w:r>
        <w:rPr/>
        <w:t>State machines have state that is updated as a result of processing logic, and which influences that processing logic. Thus, they have state that is independent of the environmental state. Embodied agents with state machine computational models thus must deal with the state of the external environment, their bodies, and their internal computational state.</w:t>
      </w:r>
    </w:p>
    <w:p>
      <w:pPr>
        <w:pStyle w:val="Normal"/>
        <w:rPr/>
      </w:pPr>
      <w:r>
        <w:rPr/>
        <w:t>(diagrams? state-machine; states in embodied agents)</w:t>
      </w:r>
    </w:p>
    <w:p>
      <w:pPr>
        <w:pStyle w:val="Normal"/>
        <w:rPr/>
      </w:pPr>
      <w:r>
        <w:rPr/>
        <w:t xml:space="preserve">Actions by an embodied agent occur over time. An arm travels through space from its initial position to its target position. During the time that the arm is in motion, the agent will make many observations about the environment and body states. The agent's goal and action plan must be relatively persistent during that time – to some extent they must resist change influenced by new observations – or otherwise the agent's behavior will be chaotic, with rapid goal and action changes that would likely ultimately be harmful to the agent. Thus, while the agent </w:t>
      </w:r>
      <w:r>
        <w:rPr>
          <w:i w:val="false"/>
          <w:iCs w:val="false"/>
        </w:rPr>
        <w:t>manages (controls)</w:t>
      </w:r>
      <w:r>
        <w:rPr/>
        <w:t xml:space="preserve"> the trajectory of its body state through its computational state (the given goal and action-plan at the time), it must also </w:t>
      </w:r>
      <w:r>
        <w:rPr>
          <w:i/>
          <w:iCs/>
        </w:rPr>
        <w:t>meta-manage</w:t>
      </w:r>
      <w:r>
        <w:rPr/>
        <w:t xml:space="preserve"> the trajectory of that computational state.</w:t>
      </w:r>
    </w:p>
    <w:p>
      <w:pPr>
        <w:pStyle w:val="Normal"/>
        <w:rPr/>
      </w:pPr>
      <w:r>
        <w:rPr/>
        <w:t xml:space="preserve">Not all actions can be decided upon immediately. Any computational system has a limit on its bandwidth: the level of complexity of computation that it can perform in a single pass from input to output. In the field of Artificial Intelligence, deep neural networks use many layers (sometimes hundreds) to improve that bandwidth (citations). </w:t>
      </w:r>
      <w:commentRangeStart w:id="1"/>
      <w:r>
        <w:rPr/>
        <w:t xml:space="preserve">Recent work (citation, "loops are the way forward") has found that deep neural networks can be replaced by shallower networks that employ end-to-end recurrency (where top-level output is used as feedback into the bottom-level input layers). These shallower </w:t>
      </w:r>
      <w:r>
        <w:rPr>
          <w:i/>
          <w:iCs/>
        </w:rPr>
        <w:t>macro-recurrent</w:t>
      </w:r>
      <w:r>
        <w:rPr/>
        <w:t xml:space="preserve"> (..definition...) networks provide the same or better performance, but have less free parameters and are faster to train</w:t>
      </w:r>
      <w:r>
        <w:rPr/>
      </w:r>
      <w:commentRangeEnd w:id="1"/>
      <w:r>
        <w:commentReference w:id="1"/>
      </w:r>
      <w:r>
        <w:rPr/>
        <w:t>.</w:t>
      </w:r>
    </w:p>
    <w:p>
      <w:pPr>
        <w:pStyle w:val="Normal"/>
        <w:rPr/>
      </w:pPr>
      <w:r>
        <w:rPr/>
        <w:t>Thus, such an agent can execute a trajectory through computational state space, without performing any body actions. And this state space trajectory needs to be managed just the same as above. But, more than in the above, in order to maintain stability, the agent needs some objective measure of the effectiveness of the trajectory.</w:t>
      </w:r>
    </w:p>
    <w:p>
      <w:pPr>
        <w:pStyle w:val="Heading2"/>
        <w:rPr/>
      </w:pPr>
      <w:r>
        <w:rPr/>
        <w:t>Good Regulators</w:t>
      </w:r>
    </w:p>
    <w:p>
      <w:pPr>
        <w:pStyle w:val="Normal"/>
        <w:rPr/>
      </w:pPr>
      <w:r>
        <w:rPr/>
        <w:t>....good regulators need to be a model....complex regulators need to have a model...</w:t>
      </w:r>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Heading1"/>
        <w:rPr/>
      </w:pPr>
      <w:r>
        <w:rPr/>
        <w:t>Meta-management</w:t>
      </w:r>
    </w:p>
    <w:p>
      <w:pPr>
        <w:pStyle w:val="Normal"/>
        <w:rPr/>
      </w:pPr>
      <w:r>
        <w:rPr/>
        <w:t>Define: meta-management.</w:t>
      </w:r>
    </w:p>
    <w:p>
      <w:pPr>
        <w:pStyle w:val="Heading2"/>
        <w:rPr/>
      </w:pPr>
      <w:r>
        <w:rPr/>
        <w:t>Meta-management needs</w:t>
      </w:r>
    </w:p>
    <w:p>
      <w:pPr>
        <w:pStyle w:val="Normal"/>
        <w:rPr>
          <w:szCs w:val="24"/>
        </w:rPr>
      </w:pPr>
      <w:r>
        <w:rPr/>
        <w:t>Why might we want to add meta-management processes to connectionist architectures? Deep AI techniques have had many successes of late (citation). However, these networks still lack some of the most basic adaptive capabilities that we see in many biological organisms (citations). Here some specific meta-management features are discussed that could benefit existing deep AI architectures.</w:t>
      </w:r>
    </w:p>
    <w:p>
      <w:pPr>
        <w:pStyle w:val="Normal"/>
        <w:rPr>
          <w:szCs w:val="24"/>
        </w:rPr>
      </w:pPr>
      <w:r>
        <w:rPr/>
        <w:t>Todo: discuss each of the following in terms of:</w:t>
      </w:r>
    </w:p>
    <w:p>
      <w:pPr>
        <w:pStyle w:val="Normal"/>
        <w:numPr>
          <w:ilvl w:val="1"/>
          <w:numId w:val="3"/>
        </w:numPr>
        <w:tabs>
          <w:tab w:val="clear" w:pos="360"/>
          <w:tab w:val="left" w:pos="0" w:leader="none"/>
        </w:tabs>
        <w:ind w:left="1414" w:hanging="283"/>
        <w:rPr>
          <w:szCs w:val="24"/>
        </w:rPr>
      </w:pPr>
      <w:r>
        <w:rPr/>
        <w:t>benefits</w:t>
      </w:r>
    </w:p>
    <w:p>
      <w:pPr>
        <w:pStyle w:val="Normal"/>
        <w:numPr>
          <w:ilvl w:val="1"/>
          <w:numId w:val="3"/>
        </w:numPr>
        <w:tabs>
          <w:tab w:val="clear" w:pos="360"/>
          <w:tab w:val="left" w:pos="0" w:leader="none"/>
        </w:tabs>
        <w:ind w:left="1414" w:hanging="283"/>
        <w:rPr>
          <w:szCs w:val="24"/>
        </w:rPr>
      </w:pPr>
      <w:r>
        <w:rPr/>
        <w:t>relationship to meta-representation</w:t>
      </w:r>
    </w:p>
    <w:p>
      <w:pPr>
        <w:pStyle w:val="Normal"/>
        <w:numPr>
          <w:ilvl w:val="1"/>
          <w:numId w:val="3"/>
        </w:numPr>
        <w:tabs>
          <w:tab w:val="clear" w:pos="360"/>
          <w:tab w:val="left" w:pos="0" w:leader="none"/>
        </w:tabs>
        <w:ind w:left="1414" w:hanging="283"/>
        <w:rPr>
          <w:szCs w:val="24"/>
        </w:rPr>
      </w:pPr>
      <w:r>
        <w:rPr/>
        <w:t>relationship to observation/logical reasoning/control components of meta-management</w:t>
      </w:r>
    </w:p>
    <w:p>
      <w:pPr>
        <w:pStyle w:val="Normal"/>
        <w:numPr>
          <w:ilvl w:val="1"/>
          <w:numId w:val="3"/>
        </w:numPr>
        <w:tabs>
          <w:tab w:val="clear" w:pos="360"/>
          <w:tab w:val="left" w:pos="0" w:leader="none"/>
        </w:tabs>
        <w:ind w:left="1414" w:hanging="283"/>
        <w:rPr>
          <w:szCs w:val="24"/>
        </w:rPr>
      </w:pPr>
      <w:r>
        <w:rPr/>
        <w:t>theoretical mechanisms</w:t>
      </w:r>
    </w:p>
    <w:p>
      <w:pPr>
        <w:pStyle w:val="Normal"/>
        <w:numPr>
          <w:ilvl w:val="1"/>
          <w:numId w:val="3"/>
        </w:numPr>
        <w:tabs>
          <w:tab w:val="clear" w:pos="360"/>
          <w:tab w:val="left" w:pos="0" w:leader="none"/>
        </w:tabs>
        <w:ind w:left="1414" w:hanging="283"/>
        <w:rPr>
          <w:szCs w:val="24"/>
        </w:rPr>
      </w:pPr>
      <w:r>
        <w:rPr/>
        <w:t>empirical evidence, if any</w:t>
      </w:r>
    </w:p>
    <w:p>
      <w:pPr>
        <w:pStyle w:val="Normal"/>
        <w:numPr>
          <w:ilvl w:val="1"/>
          <w:numId w:val="3"/>
        </w:numPr>
        <w:tabs>
          <w:tab w:val="clear" w:pos="360"/>
          <w:tab w:val="left" w:pos="0" w:leader="none"/>
        </w:tabs>
        <w:ind w:left="1414" w:hanging="283"/>
        <w:rPr>
          <w:szCs w:val="24"/>
        </w:rPr>
      </w:pPr>
      <w:r>
        <w:rPr/>
        <w:t>give citations of AI examples showing the benefits of each of these</w:t>
      </w:r>
    </w:p>
    <w:p>
      <w:pPr>
        <w:pStyle w:val="Heading3"/>
        <w:rPr>
          <w:szCs w:val="24"/>
        </w:rPr>
      </w:pPr>
      <w:r>
        <w:rPr/>
        <w:t>Dimensionality reduction</w:t>
      </w:r>
    </w:p>
    <w:p>
      <w:pPr>
        <w:pStyle w:val="Normal"/>
        <w:rPr>
          <w:szCs w:val="24"/>
        </w:rPr>
      </w:pPr>
      <w:r>
        <w:rPr/>
        <w:t>Meta-management is management over reduced dimensionality. This suggests re-representation.</w:t>
      </w:r>
    </w:p>
    <w:p>
      <w:pPr>
        <w:pStyle w:val="Normal"/>
        <w:rPr>
          <w:szCs w:val="24"/>
        </w:rPr>
      </w:pPr>
      <w:r>
        <w:rPr>
          <w:szCs w:val="24"/>
        </w:rPr>
        <mc:AlternateContent>
          <mc:Choice Requires="wps">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4702810" cy="5375910"/>
                <wp:effectExtent l="0" t="0" r="0" b="0"/>
                <wp:wrapTopAndBottom/>
                <wp:docPr id="1" name="Frame 1"/>
                <a:graphic xmlns:a="http://schemas.openxmlformats.org/drawingml/2006/main">
                  <a:graphicData uri="http://schemas.microsoft.com/office/word/2010/wordprocessingShape">
                    <wps:wsp>
                      <wps:cNvSpPr/>
                      <wps:spPr>
                        <a:xfrm>
                          <a:off x="0" y="0"/>
                          <a:ext cx="4702320" cy="5375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878580" cy="32746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3878580" cy="3274695"/>
                                          </a:xfrm>
                                          <a:prstGeom prst="rect">
                                            <a:avLst/>
                                          </a:prstGeom>
                                        </pic:spPr>
                                      </pic:pic>
                                    </a:graphicData>
                                  </a:graphic>
                                </wp:inline>
                              </w:drawing>
                            </w:r>
                          </w:p>
                          <w:p>
                            <w:pPr>
                              <w:pStyle w:val="Figure"/>
                              <w:spacing w:before="120" w:after="120"/>
                              <w:rPr>
                                <w:color w:val="000000"/>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xml:space="preserve">: Dimensionality reduction. </w:t>
                            </w:r>
                            <w:r>
                              <w:rPr>
                                <w:i w:val="false"/>
                                <w:iCs w:val="false"/>
                                <w:color w:val="000000"/>
                              </w:rPr>
                              <w:t>A large network under control (NUC) can be observed and controlled efficiently by a much smaller network. Dimensionality reduction benefits the process in three ways. (a) a reduced dimensionality observation of the state of the NUC enables the control network to interpret that state without an exponential increase in the total number of neurons in the system. (b) When operating over a reduced dimensionality, the control network can learn with fewer training iterations, and apply more advanced decision rules with less resources. (c) the output of the control network can also be in a dimensionally reduced space, further simplifying its computations, as hierarchical models provide a mechanism for low-dimensionality signals to control higher-dimensionality networks.</w:t>
                            </w:r>
                          </w:p>
                        </w:txbxContent>
                      </wps:txbx>
                      <wps:bodyPr lIns="0" rIns="0" tIns="0" bIns="0" anchor="t">
                        <a:noAutofit/>
                      </wps:bodyPr>
                    </wps:wsp>
                  </a:graphicData>
                </a:graphic>
              </wp:anchor>
            </w:drawing>
          </mc:Choice>
          <mc:Fallback>
            <w:pict>
              <v:rect id="shape_0" ID="Frame 1" path="m0,0l-2147483645,0l-2147483645,-2147483646l0,-2147483646xe" fillcolor="white" stroked="f" o:allowincell="f" style="position:absolute;margin-left:59.25pt;margin-top:0.05pt;width:370.2pt;height:423.2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3878580" cy="32746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878580" cy="3274695"/>
                                    </a:xfrm>
                                    <a:prstGeom prst="rect">
                                      <a:avLst/>
                                    </a:prstGeom>
                                  </pic:spPr>
                                </pic:pic>
                              </a:graphicData>
                            </a:graphic>
                          </wp:inline>
                        </w:drawing>
                      </w:r>
                    </w:p>
                    <w:p>
                      <w:pPr>
                        <w:pStyle w:val="Figure"/>
                        <w:spacing w:before="120" w:after="120"/>
                        <w:rPr>
                          <w:color w:val="000000"/>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xml:space="preserve">: Dimensionality reduction. </w:t>
                      </w:r>
                      <w:r>
                        <w:rPr>
                          <w:i w:val="false"/>
                          <w:iCs w:val="false"/>
                          <w:color w:val="000000"/>
                        </w:rPr>
                        <w:t>A large network under control (NUC) can be observed and controlled efficiently by a much smaller network. Dimensionality reduction benefits the process in three ways. (a) a reduced dimensionality observation of the state of the NUC enables the control network to interpret that state without an exponential increase in the total number of neurons in the system. (b) When operating over a reduced dimensionality, the control network can learn with fewer training iterations, and apply more advanced decision rules with less resources. (c) the output of the control network can also be in a dimensionally reduced space, further simplifying its computations, as hierarchical models provide a mechanism for low-dimensionality signals to control higher-dimensionality networks.</w:t>
                      </w:r>
                    </w:p>
                  </w:txbxContent>
                </v:textbox>
                <w10:wrap type="topAndBottom"/>
              </v:rect>
            </w:pict>
          </mc:Fallback>
        </mc:AlternateContent>
      </w:r>
    </w:p>
    <w:p>
      <w:pPr>
        <w:pStyle w:val="Normal"/>
        <w:rPr>
          <w:szCs w:val="24"/>
        </w:rPr>
      </w:pPr>
      <w:r>
        <w:rPr/>
        <w:t xml:space="preserve">Observation: A network cannot micro-manage itself. In order to observe the full state of every neuron would require at least just as many neurons again, or probably many times more. Thus, the dimensionality of the observation of system state must be significantly reduced for the practical purpose of avoiding an exponential scaling out in the number of neurons of the total system. Predictive mechanisms are well suited to this. Typically predictive mechanisms are used to infer the hidden </w:t>
      </w:r>
      <w:r>
        <w:rPr>
          <w:i/>
        </w:rPr>
        <w:t>latent</w:t>
      </w:r>
      <w:r>
        <w:rPr/>
        <w:t xml:space="preserve"> state of a system, based on observations obtained about that system. A side effect is that the inferred latent state is only an estimated representation of the true system latent state, and consequently it usually has significantly less dimensionality than the true latent state. Thus, the predictive mechanism can also be seen as a dimensionality reduction mechanism that produces a self-stabilising (auto-convergent) simpler representation of the state of the system under observation.</w:t>
      </w:r>
    </w:p>
    <w:p>
      <w:pPr>
        <w:pStyle w:val="Normal"/>
        <w:rPr>
          <w:szCs w:val="24"/>
        </w:rPr>
      </w:pPr>
      <w:r>
        <w:rPr/>
        <w:t>Decision: A reduced dimension state space is beneficial for the control logic. Learning good control methods/parameters is more efficient and more stable in a lower dimensional state space. Additionally, the control system can apply more complex rules with less resources than it would otherwise need.</w:t>
      </w:r>
    </w:p>
    <w:p>
      <w:pPr>
        <w:pStyle w:val="Normal"/>
        <w:rPr>
          <w:szCs w:val="24"/>
        </w:rPr>
      </w:pPr>
      <w:r>
        <w:rPr/>
        <w:t>Control signals: Lastly, a reduced dimensionality is also good for the final output of the control system, for all the same reasons as above. However, that reduced dimensionality may need to be subsequently up-scaled if it is to control at the low-level scales. Thankfully there is well-established precedent for that in the form of U-Nets (citation) and in hierarchical predictive models (citations).</w:t>
      </w:r>
    </w:p>
    <w:p>
      <w:pPr>
        <w:pStyle w:val="Normal"/>
        <w:rPr>
          <w:szCs w:val="24"/>
        </w:rPr>
      </w:pPr>
      <w:r>
        <w:rPr/>
        <w:t>Most of the other "why"s mentioned here benefit hugely from using higher-order representations because it reduces the dimensionality of state spaces for: monitoring current internal state, monitoring external feedback, learning associations. Additionally, where those higher-order representations are inferences over the latent states, then they unify multiple sources of information (different sensory modalities, information presented over time).</w:t>
      </w:r>
    </w:p>
    <w:p>
      <w:pPr>
        <w:pStyle w:val="Heading3"/>
        <w:rPr>
          <w:szCs w:val="24"/>
        </w:rPr>
      </w:pPr>
      <w:r>
        <w:rPr/>
        <w:t>State trajectory control</w:t>
      </w:r>
    </w:p>
    <w:p>
      <w:pPr>
        <w:pStyle w:val="Normal"/>
        <w:rPr>
          <w:szCs w:val="24"/>
        </w:rPr>
      </w:pPr>
      <w:r>
        <w:rPr/>
        <w:t>Observing performance over time</w:t>
      </w:r>
    </w:p>
    <w:p>
      <w:pPr>
        <w:pStyle w:val="Normal"/>
        <w:rPr>
          <w:szCs w:val="24"/>
        </w:rPr>
      </w:pPr>
      <w:r>
        <w:rPr/>
        <w:t>Predicting future outcomes from current trajectory</w:t>
      </w:r>
    </w:p>
    <w:p>
      <w:pPr>
        <w:pStyle w:val="Normal"/>
        <w:rPr>
          <w:szCs w:val="24"/>
        </w:rPr>
      </w:pPr>
      <w:r>
        <w:rPr/>
        <w:t>Predicting expected future utility of current trajectory</w:t>
      </w:r>
    </w:p>
    <w:p>
      <w:pPr>
        <w:pStyle w:val="Normal"/>
        <w:rPr>
          <w:szCs w:val="24"/>
        </w:rPr>
      </w:pPr>
      <w:r>
        <w:rPr/>
        <w:t>Applying tuning control where current trajectory is sub-optimal.</w:t>
      </w:r>
    </w:p>
    <w:p>
      <w:pPr>
        <w:pStyle w:val="Normal"/>
        <w:rPr>
          <w:szCs w:val="24"/>
        </w:rPr>
      </w:pPr>
      <w:r>
        <w:rPr/>
        <w:t xml:space="preserve">eg: in my own first simulations I ran into a problem of stagnant state cycles (infinite loops) </w:t>
      </w:r>
    </w:p>
    <w:p>
      <w:pPr>
        <w:pStyle w:val="Heading3"/>
        <w:rPr>
          <w:szCs w:val="24"/>
        </w:rPr>
      </w:pPr>
      <w:r>
        <w:rPr/>
        <w:t>Objective learning</w:t>
      </w:r>
    </w:p>
    <w:p>
      <w:pPr>
        <w:pStyle w:val="Normal"/>
        <w:rPr>
          <w:szCs w:val="24"/>
        </w:rPr>
      </w:pPr>
      <w:r>
        <w:rPr/>
        <w:t>(TODO, introduce this in an abstract agent way first, then use biology as an example)</w:t>
      </w:r>
    </w:p>
    <w:p>
      <w:pPr>
        <w:pStyle w:val="Normal"/>
        <w:rPr>
          <w:szCs w:val="24"/>
        </w:rPr>
      </w:pPr>
      <w:r>
        <w:rPr/>
        <w:t>Learning higher-order objectives from sparse RL feedback and associating them to hard-wired basic needs. eg: how does a meaningless inedible coloured token translate to basic life preservation objectives?</w:t>
      </w:r>
    </w:p>
    <w:p>
      <w:pPr>
        <w:pStyle w:val="Normal"/>
        <w:rPr>
          <w:szCs w:val="24"/>
        </w:rPr>
      </w:pPr>
      <w:r>
        <w:rPr/>
        <w:t>Biological organisms clearly are born pre-wired with some basic evolutionarily hard-wired seeking of basic needs, eg: basic life preservation, and seeking of food. They can even be hard-wired external behaviours that force certain sequences of muscle contractions (rooting behaviour in infants). But how does that translate into complex social interactions that change more rapidly than evolution can adapt to? The associations must be learned through experience. The dimensionality of the search space would be too vast if learning at the level of muscles. And the RL feedback is often sparse. Thus higher-order representations are necessary to drastically reduce the dimensionality of both the control space and the environment space.</w:t>
      </w:r>
    </w:p>
    <w:p>
      <w:pPr>
        <w:pStyle w:val="Heading3"/>
        <w:rPr>
          <w:szCs w:val="24"/>
        </w:rPr>
      </w:pPr>
      <w:r>
        <w:rPr/>
        <w:t>Mode selection</w:t>
      </w:r>
    </w:p>
    <w:p>
      <w:pPr>
        <w:pStyle w:val="Normal"/>
        <w:rPr>
          <w:szCs w:val="24"/>
        </w:rPr>
      </w:pPr>
      <w:r>
        <w:rPr/>
        <w:t>strategy / goal / context / module / attention selection</w:t>
      </w:r>
    </w:p>
    <w:p>
      <w:pPr>
        <w:pStyle w:val="Normal"/>
        <w:rPr>
          <w:szCs w:val="24"/>
        </w:rPr>
      </w:pPr>
      <w:r>
        <w:rPr/>
        <w:t xml:space="preserve">Exploration vs exploitation </w:t>
      </w:r>
    </w:p>
    <w:p>
      <w:pPr>
        <w:pStyle w:val="Normal"/>
        <w:rPr>
          <w:szCs w:val="24"/>
        </w:rPr>
      </w:pPr>
      <w:r>
        <w:rPr/>
        <w:t xml:space="preserve">Priors or other tuning mechanism. Even priors on meta mgtmt layers. </w:t>
      </w:r>
    </w:p>
    <w:p>
      <w:pPr>
        <w:pStyle w:val="Normal"/>
        <w:rPr>
          <w:szCs w:val="24"/>
        </w:rPr>
      </w:pPr>
      <w:r>
        <w:rPr/>
        <w:t>eg: adjusting priors, inhibition, excitation</w:t>
      </w:r>
    </w:p>
    <w:p>
      <w:pPr>
        <w:pStyle w:val="Heading3"/>
        <w:rPr>
          <w:szCs w:val="24"/>
        </w:rPr>
      </w:pPr>
      <w:r>
        <w:rPr/>
        <w:t>Meta-strategy clustering</w:t>
      </w:r>
    </w:p>
    <w:p>
      <w:pPr>
        <w:pStyle w:val="Normal"/>
        <w:rPr>
          <w:szCs w:val="24"/>
        </w:rPr>
      </w:pPr>
      <w:r>
        <w:rPr/>
        <w:t>Identification of component/process interactions and effects in order that they may be chosen via mode-selection. Requires observation of systems in such a way that makes it possible to differentiate their parts and/or processes. Thus needs model access.</w:t>
      </w:r>
    </w:p>
    <w:p>
      <w:pPr>
        <w:pStyle w:val="Heading3"/>
        <w:rPr>
          <w:szCs w:val="24"/>
        </w:rPr>
      </w:pPr>
      <w:r>
        <w:rPr/>
        <w:t>Distributed cooperation</w:t>
      </w:r>
    </w:p>
    <w:p>
      <w:pPr>
        <w:pStyle w:val="Normal"/>
        <w:rPr>
          <w:szCs w:val="24"/>
        </w:rPr>
      </w:pPr>
      <w:r>
        <w:rPr/>
        <w:t>Managing competition and cooperation between many sub-processes.</w:t>
      </w:r>
    </w:p>
    <w:p>
      <w:pPr>
        <w:pStyle w:val="Normal"/>
        <w:rPr>
          <w:szCs w:val="24"/>
        </w:rPr>
      </w:pPr>
      <w:r>
        <w:rPr/>
        <w:t>In humans, probably a first-order network concern because we don't consciously experience and control that process. But it is in principle possible to be done at either level.</w:t>
      </w:r>
    </w:p>
    <w:p>
      <w:pPr>
        <w:pStyle w:val="Normal"/>
        <w:rPr>
          <w:szCs w:val="24"/>
        </w:rPr>
      </w:pPr>
      <w:r>
        <w:rPr/>
        <w:t>eg: adjusting priors, inhibition, excitation</w:t>
      </w:r>
    </w:p>
    <w:p>
      <w:pPr>
        <w:pStyle w:val="Heading3"/>
        <w:rPr>
          <w:szCs w:val="24"/>
        </w:rPr>
      </w:pPr>
      <w:r>
        <w:rPr/>
        <w:t>Certainty measurement / reaction</w:t>
      </w:r>
    </w:p>
    <w:p>
      <w:pPr>
        <w:pStyle w:val="Normal"/>
        <w:rPr>
          <w:szCs w:val="24"/>
        </w:rPr>
      </w:pPr>
      <w:r>
        <w:rPr/>
        <w:t xml:space="preserve">Eg: low level simulations linking certainty encoding to attention. </w:t>
      </w:r>
    </w:p>
    <w:p>
      <w:pPr>
        <w:pStyle w:val="Normal"/>
        <w:rPr>
          <w:szCs w:val="24"/>
        </w:rPr>
      </w:pPr>
      <w:r>
        <w:rPr/>
        <w:t xml:space="preserve">Not sure how used for meta mgtmt, but has a plausible low level mechanism. </w:t>
      </w:r>
    </w:p>
    <w:p>
      <w:pPr>
        <w:pStyle w:val="Heading2"/>
        <w:rPr/>
      </w:pPr>
      <w:r>
        <w:rPr/>
        <w:t>Meta-management architectures</w:t>
      </w:r>
    </w:p>
    <w:p>
      <w:pPr>
        <w:pStyle w:val="Normal"/>
        <w:rPr/>
      </w:pPr>
      <w:r>
        <w:rPr/>
        <w:t>(for each section, explain what it is, how it might be implemented, and existing papers)</w:t>
      </w:r>
    </w:p>
    <w:p>
      <w:pPr>
        <w:pStyle w:val="Heading3"/>
        <w:rPr/>
      </w:pPr>
      <w:r>
        <w:rPr/>
        <w:t>Implicit meta-management / Inherent convergence</w:t>
      </w:r>
    </w:p>
    <w:p>
      <w:pPr>
        <w:pStyle w:val="Heading3"/>
        <w:rPr/>
      </w:pPr>
      <w:r>
        <w:rPr/>
        <w:t>Independent meta-management</w:t>
      </w:r>
    </w:p>
    <w:p>
      <w:pPr>
        <w:pStyle w:val="Heading3"/>
        <w:rPr/>
      </w:pPr>
      <w:r>
        <w:rPr/>
        <w:t>Integrated meta-management</w:t>
      </w:r>
    </w:p>
    <w:p>
      <w:pPr>
        <w:pStyle w:val="Heading1"/>
        <w:rPr/>
      </w:pPr>
      <w:r>
        <w:rPr/>
        <w:t>Review of meta-management architectures in Meta-cognition</w:t>
      </w:r>
    </w:p>
    <w:p>
      <w:pPr>
        <w:pStyle w:val="Normal"/>
        <w:rPr/>
      </w:pPr>
      <w:r>
        <w:rPr/>
        <w:t>...</w:t>
      </w:r>
    </w:p>
    <w:p>
      <w:pPr>
        <w:pStyle w:val="Heading1"/>
        <w:rPr/>
      </w:pPr>
      <w:r>
        <w:rPr/>
        <w:t>Consciousness</w:t>
      </w:r>
    </w:p>
    <w:p>
      <w:pPr>
        <w:pStyle w:val="Normal"/>
        <w:rPr/>
      </w:pPr>
      <w:r>
        <w:rPr/>
        <w:t>Here we enter the speculative part of the paper. Which architecture is the basis of meta-cognition?</w:t>
      </w:r>
    </w:p>
    <w:p>
      <w:pPr>
        <w:pStyle w:val="Normal"/>
        <w:rPr/>
      </w:pPr>
      <w:r>
        <w:rPr/>
        <w:t>A few guiding principles:</w:t>
      </w:r>
    </w:p>
    <w:p>
      <w:pPr>
        <w:pStyle w:val="Normal"/>
        <w:numPr>
          <w:ilvl w:val="0"/>
          <w:numId w:val="6"/>
        </w:numPr>
        <w:rPr/>
      </w:pPr>
      <w:r>
        <w:rPr/>
        <w:t>Likely a combination of different architectures used for different functions at different levels.</w:t>
      </w:r>
    </w:p>
    <w:p>
      <w:pPr>
        <w:pStyle w:val="Normal"/>
        <w:numPr>
          <w:ilvl w:val="0"/>
          <w:numId w:val="6"/>
        </w:numPr>
        <w:rPr/>
      </w:pPr>
      <w:r>
        <w:rPr/>
        <w:t>Unconscious automatized processes can do a lot on their own without conscious involvement (Baars, Rosenthal). This frees up higher-order processes to contemplate longer-term issues in parallel.</w:t>
      </w:r>
    </w:p>
    <w:p>
      <w:pPr>
        <w:pStyle w:val="Normal"/>
        <w:numPr>
          <w:ilvl w:val="0"/>
          <w:numId w:val="6"/>
        </w:numPr>
        <w:rPr/>
      </w:pPr>
      <w:r>
        <w:rPr/>
        <w:t>Conscious experience is very much about observation of one's own state, so presumably anything that is conscious requires a meta-management feedback loop.</w:t>
      </w:r>
    </w:p>
    <w:p>
      <w:pPr>
        <w:pStyle w:val="Normal"/>
        <w:rPr/>
      </w:pPr>
      <w:r>
        <w:rPr/>
        <w:t>Outcome: inverted meta-management (but don't call it that): top-half is integrated architecture, plus also a weak link to bottom-half where it acts as the independent meta-management architecture for bottom-half.</w:t>
      </w:r>
    </w:p>
    <w:p>
      <w:pPr>
        <w:pStyle w:val="Heading1"/>
        <w:rPr/>
      </w:pPr>
      <w:r>
        <w:rPr/>
        <w:t>Summary</w:t>
      </w:r>
    </w:p>
    <w:p>
      <w:pPr>
        <w:pStyle w:val="Normal"/>
        <w:rPr/>
      </w:pPr>
      <w:r>
        <w:rPr/>
        <w:t>More empirical studies needed.</w:t>
      </w:r>
    </w:p>
    <w:p>
      <w:pPr>
        <w:pStyle w:val="Normal"/>
        <w:rPr/>
      </w:pPr>
      <w:r>
        <w:rPr/>
      </w:r>
    </w:p>
    <w:p>
      <w:pPr>
        <w:pStyle w:val="Normal"/>
        <w:rPr/>
      </w:pPr>
      <w:r>
        <w:rPr/>
      </w:r>
    </w:p>
    <w:p>
      <w:pPr>
        <w:pStyle w:val="HorizontalLine"/>
        <w:rPr/>
      </w:pPr>
      <w:r>
        <w:rPr/>
      </w:r>
    </w:p>
    <w:p>
      <w:pPr>
        <w:pStyle w:val="Heading1"/>
        <w:rPr/>
      </w:pPr>
      <w:r>
        <w:rPr/>
        <w:t>Introduction</w:t>
      </w:r>
    </w:p>
    <w:p>
      <w:pPr>
        <w:pStyle w:val="Normal"/>
        <w:rPr>
          <w:szCs w:val="24"/>
        </w:rPr>
      </w:pPr>
      <w:r>
        <w:rPr>
          <w:szCs w:val="24"/>
        </w:rPr>
        <w:t>Computational and connectionist theories of consciousness are inherently built upon the idea of a state machine and loops, but they fail to draw specific reference to this dependency.....GWT, etc. etc. (citations). Thus, there is an avenue for further insights.</w:t>
      </w:r>
    </w:p>
    <w:p>
      <w:pPr>
        <w:pStyle w:val="Normal"/>
        <w:spacing w:before="120" w:after="0"/>
        <w:rPr>
          <w:szCs w:val="24"/>
        </w:rPr>
      </w:pPr>
      <w:r>
        <w:rPr/>
        <w:t>The field of meta-cognition has begun to make inroads. Originally focused on the most outward behavioural aspects of the fact that people who are more aware of their own learning strategies, strengths, and weakneses, do better. Now, meta-cognition research investigates how the brain performs those behaviours. Furthermore, many have suggetsed that meta-cognition may be the basis for consciousness itself (citations). Meta-cognition has been implicated in ............(behaviours, with citations)....</w:t>
      </w:r>
    </w:p>
    <w:p>
      <w:pPr>
        <w:pStyle w:val="Normal"/>
        <w:spacing w:before="120" w:after="0"/>
        <w:rPr>
          <w:szCs w:val="24"/>
        </w:rPr>
      </w:pPr>
      <w:r>
        <w:rPr/>
        <w:t>Like theories of consciousness, much of the meta-cognition theorising is at the level of behaviours or whole of brain processes. Some attempt to draw references to specific brain regions (..citations..) but that work is still very speculative. Only a few ...(citations)... have attempted to simulate such processes in connectionist models. Those simulations are usually very simple. For example, they (...citations...) simulate the construction of higher-order representations about certainty, but don't use that as a feedback signal for the system to incorporate into its processing.</w:t>
      </w:r>
    </w:p>
    <w:p>
      <w:pPr>
        <w:pStyle w:val="Normal"/>
        <w:spacing w:before="120" w:after="0"/>
        <w:rPr>
          <w:szCs w:val="24"/>
        </w:rPr>
      </w:pPr>
      <w:r>
        <w:rPr/>
        <w:t>The present paper attempts to strengthen the meta-cognition research in two ways. First, it attempts to bridge the gap between existing connectionist mechanisms and meta-cognitive theories by highlighting specific low-level connectionist mechanisms that might form the basis for meta-cognition. Secondly, it examines different connectionist architectures, and shows how those architectures lead to different observable results.</w:t>
      </w:r>
    </w:p>
    <w:p>
      <w:pPr>
        <w:pStyle w:val="Normal"/>
        <w:spacing w:before="120" w:after="0"/>
        <w:rPr>
          <w:szCs w:val="24"/>
        </w:rPr>
      </w:pPr>
      <w:r>
        <w:rPr/>
        <w:t>In order to focus on practicality, a "design stance" is taken.... (citation and explanation).... This leads us to focus on the bottom-up design, which serves two purposes. i) It provides a stronger proof of the value in the arguments, and ii) it offers direction for using the knowledge to build systems with these capabilities.</w:t>
      </w:r>
    </w:p>
    <w:p>
      <w:pPr>
        <w:pStyle w:val="Heading1"/>
        <w:rPr>
          <w:szCs w:val="24"/>
        </w:rPr>
      </w:pPr>
      <w:r>
        <w:rPr/>
        <w:t>Agents as Regulators</w:t>
      </w:r>
    </w:p>
    <w:p>
      <w:pPr>
        <w:pStyle w:val="Heading1"/>
        <w:rPr>
          <w:szCs w:val="24"/>
        </w:rPr>
      </w:pPr>
      <w:r>
        <w:rPr/>
        <w:t>Meta-management Architectures</w:t>
      </w:r>
    </w:p>
    <w:p>
      <w:pPr>
        <w:pStyle w:val="Heading1"/>
        <w:rPr>
          <w:szCs w:val="24"/>
        </w:rPr>
      </w:pPr>
      <w:r>
        <w:rPr/>
        <w:t>Conclusions</w:t>
      </w:r>
    </w:p>
    <w:p>
      <w:pPr>
        <w:pStyle w:val="Normal"/>
        <w:rPr>
          <w:szCs w:val="24"/>
        </w:rPr>
      </w:pPr>
      <w:r>
        <w:rPr/>
        <w:t>Bottom-up design stance has been taken. This offers opportunities to build systems based on these architectures, and to measure empirically their relative benefits for different problem domains.</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HorizontalLine"/>
        <w:rPr>
          <w:szCs w:val="24"/>
        </w:rPr>
      </w:pPr>
      <w:r>
        <w:rPr>
          <w:szCs w:val="24"/>
        </w:rPr>
      </w:r>
    </w:p>
    <w:p>
      <w:pPr>
        <w:pStyle w:val="Normal"/>
        <w:rPr>
          <w:szCs w:val="24"/>
        </w:rPr>
      </w:pPr>
      <w:r>
        <w:rPr>
          <w:szCs w:val="24"/>
        </w:rPr>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2</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1224915" cy="1611630"/>
                <wp:effectExtent l="0" t="0" r="0" b="0"/>
                <wp:wrapTopAndBottom/>
                <wp:docPr id="5" name="Frame6"/>
                <a:graphic xmlns:a="http://schemas.openxmlformats.org/drawingml/2006/main">
                  <a:graphicData uri="http://schemas.microsoft.com/office/word/2010/wordprocessingShape">
                    <wps:wsp>
                      <wps:cNvSpPr/>
                      <wps:spPr>
                        <a:xfrm>
                          <a:off x="0" y="0"/>
                          <a:ext cx="1224360" cy="161100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1219835" cy="114681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2pt;margin-top:0.05pt;width:96.35pt;height:126.8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1219835" cy="11468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3</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3</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3</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4543425" cy="6633210"/>
                <wp:effectExtent l="0" t="0" r="0" b="0"/>
                <wp:wrapTopAndBottom/>
                <wp:docPr id="9" name="Frame1"/>
                <a:graphic xmlns:a="http://schemas.openxmlformats.org/drawingml/2006/main">
                  <a:graphicData uri="http://schemas.microsoft.com/office/word/2010/wordprocessingShape">
                    <wps:wsp>
                      <wps:cNvSpPr/>
                      <wps:spPr>
                        <a:xfrm>
                          <a:off x="0" y="0"/>
                          <a:ext cx="4542840" cy="663264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3</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55pt;margin-top:0.05pt;width:357.65pt;height:522.2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7"/>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3</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3</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 (2015):</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Summary</w:t>
      </w:r>
    </w:p>
    <w:p>
      <w:pPr>
        <w:pStyle w:val="Normal"/>
        <w:rPr/>
      </w:pPr>
      <w:r>
        <w:rPr>
          <w:rFonts w:eastAsia="Calibri" w:cs="" w:cstheme="minorBidi" w:eastAsiaTheme="minorHAnsi"/>
          <w:color w:val="auto"/>
          <w:kern w:val="0"/>
          <w:sz w:val="24"/>
          <w:szCs w:val="22"/>
          <w:lang w:val="en-US" w:eastAsia="en-US" w:bidi="ar-SA"/>
        </w:rPr>
        <w:t>todo</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spacing w:before="120" w:after="240"/>
        <w:rPr/>
      </w:pPr>
      <w:r>
        <w:rPr/>
      </w:r>
    </w:p>
    <w:sectPr>
      <w:headerReference w:type="even" r:id="rId8"/>
      <w:headerReference w:type="default" r:id="rId9"/>
      <w:headerReference w:type="first" r:id="rId10"/>
      <w:footerReference w:type="even" r:id="rId11"/>
      <w:footerReference w:type="default" r:id="rId12"/>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5-17T07:09:09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 to define: eg: it’s not about whether the patient is awake or not.</w:t>
      </w:r>
    </w:p>
  </w:comment>
  <w:comment w:id="1" w:author="Unknown Author" w:date="2022-05-14T11:12:1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Will need some more work.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28" wp14:anchorId="51D4B8BD">
              <wp:simplePos x="0" y="0"/>
              <wp:positionH relativeFrom="margin">
                <wp:align>right</wp:align>
              </wp:positionH>
              <wp:positionV relativeFrom="paragraph">
                <wp:posOffset>635</wp:posOffset>
              </wp:positionV>
              <wp:extent cx="1517015" cy="342265"/>
              <wp:effectExtent l="0" t="0" r="0" b="0"/>
              <wp:wrapNone/>
              <wp:docPr id="14" name="Text Box 1"/>
              <a:graphic xmlns:a="http://schemas.openxmlformats.org/drawingml/2006/main">
                <a:graphicData uri="http://schemas.microsoft.com/office/word/2010/wordprocessingShape">
                  <wps:wsp>
                    <wps:cNvSpPr/>
                    <wps:spPr>
                      <a:xfrm>
                        <a:off x="0" y="0"/>
                        <a:ext cx="15163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14</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4pt;margin-top:0.05pt;width:119.3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14</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40" wp14:anchorId="31D8D0F9">
              <wp:simplePos x="0" y="0"/>
              <wp:positionH relativeFrom="column">
                <wp:posOffset>-108585</wp:posOffset>
              </wp:positionH>
              <wp:positionV relativeFrom="paragraph">
                <wp:posOffset>-48895</wp:posOffset>
              </wp:positionV>
              <wp:extent cx="3680460" cy="342265"/>
              <wp:effectExtent l="0" t="0" r="4445" b="0"/>
              <wp:wrapNone/>
              <wp:docPr id="16" name="Text Box 2"/>
              <a:graphic xmlns:a="http://schemas.openxmlformats.org/drawingml/2006/main">
                <a:graphicData uri="http://schemas.microsoft.com/office/word/2010/wordprocessingShape">
                  <wps:wsp>
                    <wps:cNvSpPr/>
                    <wps:spPr>
                      <a:xfrm>
                        <a:off x="0" y="0"/>
                        <a:ext cx="367992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7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4" wp14:anchorId="2C4AF3B6">
              <wp:simplePos x="0" y="0"/>
              <wp:positionH relativeFrom="margin">
                <wp:align>right</wp:align>
              </wp:positionH>
              <wp:positionV relativeFrom="paragraph">
                <wp:posOffset>635</wp:posOffset>
              </wp:positionV>
              <wp:extent cx="1517015" cy="342265"/>
              <wp:effectExtent l="0" t="0" r="0" b="0"/>
              <wp:wrapNone/>
              <wp:docPr id="18" name="Text Box 56"/>
              <a:graphic xmlns:a="http://schemas.openxmlformats.org/drawingml/2006/main">
                <a:graphicData uri="http://schemas.microsoft.com/office/word/2010/wordprocessingShape">
                  <wps:wsp>
                    <wps:cNvSpPr/>
                    <wps:spPr>
                      <a:xfrm>
                        <a:off x="0" y="0"/>
                        <a:ext cx="15163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15</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4pt;margin-top:0.05pt;width:119.3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15</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13"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120" w:after="283"/>
    </w:pPr>
    <w:rPr>
      <w:sz w:val="12"/>
      <w:szCs w:val="12"/>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1338</TotalTime>
  <Application>LibreOffice/7.2.4.1$Windows_X86_64 LibreOffice_project/27d75539669ac387bb498e35313b970b7fe9c4f9</Application>
  <AppVersion>15.0000</AppVersion>
  <Pages>15</Pages>
  <Words>5589</Words>
  <Characters>31754</Characters>
  <CharactersWithSpaces>37148</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2022-05-17T07:13:49Z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