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comments.xml" ContentType="application/vnd.openxmlformats-officedocument.wordprocessingml.comment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 xml:space="preserve">In biology, this provides scope for evolutionary pressures to trade off between a more energy hungry complex brain and a simpler less energy intensive one that takes longer to make some decisions. Van Bergen </w:t>
      </w:r>
      <w:r>
        <w:rPr>
          <w:szCs w:val="24"/>
        </w:rPr>
        <w:t>and</w:t>
      </w:r>
      <w:r>
        <w:rPr>
          <w:szCs w:val="24"/>
        </w:rPr>
        <w:t xml:space="preserve">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All of the systems described above are of the form</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such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rPr/>
      </w:pPr>
      <w:r>
        <w:rPr/>
        <w:t>Alternatively, consider the following diagram, which shows an abstract syntax tree</w:t>
      </w:r>
      <w:r>
        <w:rPr>
          <w:rStyle w:val="FootnoteAnchor"/>
        </w:rPr>
        <w:footnoteReference w:id="3"/>
      </w:r>
      <w:r>
        <w:rPr/>
        <w:t xml:space="preserve"> (AST) of the function above, of the sort used in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51045" cy="3568700"/>
                <wp:effectExtent l="0" t="0" r="0" b="0"/>
                <wp:wrapTopAndBottom/>
                <wp:docPr id="1" name="Frame4"/>
                <a:graphic xmlns:a="http://schemas.openxmlformats.org/drawingml/2006/main">
                  <a:graphicData uri="http://schemas.microsoft.com/office/word/2010/wordprocessingShape">
                    <wps:wsp>
                      <wps:cNvSpPr/>
                      <wps:spPr>
                        <a:xfrm>
                          <a:off x="0" y="0"/>
                          <a:ext cx="4550400" cy="35679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549775" cy="32829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(tbd: needs caption)</w:t>
                            </w:r>
                          </w:p>
                        </w:txbxContent>
                      </wps:txbx>
                      <wps:bodyPr lIns="0" rIns="0" tIns="0" bIns="0">
                        <a:noAutofit/>
                      </wps:bodyPr>
                    </wps:wsp>
                  </a:graphicData>
                </a:graphic>
              </wp:anchor>
            </w:drawing>
          </mc:Choice>
          <mc:Fallback>
            <w:pict>
              <v:rect id="shape_0" ID="Frame4" stroked="f" style="position:absolute;margin-left:65.25pt;margin-top:0.05pt;width:358.25pt;height:280.9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549775" cy="32829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(tbd: needs caption)</w:t>
                      </w:r>
                    </w:p>
                  </w:txbxContent>
                </v:textbox>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There is also </w:t>
      </w:r>
      <w:r>
        <w:rPr>
          <w:i/>
          <w:iCs/>
        </w:rPr>
        <w:t>model-based</w:t>
      </w:r>
      <w:r>
        <w:rPr/>
        <w:t xml:space="preserve"> RL. One variant of </w:t>
      </w:r>
      <w:r>
        <w:rPr>
          <w:i w:val="false"/>
          <w:iCs w:val="false"/>
        </w:rPr>
        <w:t>model-based</w:t>
      </w:r>
      <w:r>
        <w:rPr/>
        <w:t xml:space="preserve"> RL uses ANNs to predict the expected outcome of executing an action. The introspective ability here is the same as for model-free deep RL -  the ANN is treated as a function. For the RL models mentioned so far, the set </w:t>
      </w:r>
      <w:r>
        <w:rPr>
          <w:caps w:val="false"/>
          <w:smallCaps w:val="false"/>
          <w:color w:val="373637"/>
          <w:spacing w:val="0"/>
        </w:rPr>
        <w:t>ℱ</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However, a significant point to note here is that ANNs, and neural networks in general, may not lend themselves naturally to introspection on their own.</w:t>
      </w:r>
    </w:p>
    <w:p>
      <w:pPr>
        <w:pStyle w:val="Normal"/>
        <w:rPr/>
      </w:pPr>
      <w:r>
        <w:rPr/>
        <w:t>For that reason, a third form of model exists, whereby a secondary model predicts the behaviors of the former. The secondary model may, for example, be a second ANN that captures aspects of the same underlying system but at a more macro level, and it may be more suitable for integration with other data. This macro representation is at the core of the theory of Higher Order Thought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pPr>
      <w:r>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kind of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w:p>
    <w:p>
      <w:pPr>
        <w:pStyle w:val="Heading1"/>
        <w:numPr>
          <w:ilvl w:val="0"/>
          <w:numId w:val="2"/>
        </w:numPr>
        <w:rPr/>
      </w:pPr>
      <w:r>
        <w:rPr/>
        <w:t>Consciousness</w:t>
      </w:r>
    </w:p>
    <w:p>
      <w:pPr>
        <w:pStyle w:val="Normal"/>
        <w:rPr/>
      </w:pPr>
      <w:r>
        <w:rPr/>
        <w:t>The Visceral Loop has implications for understanding consciousness</w:t>
      </w:r>
      <w:r>
        <w:rPr/>
        <w:t xml:space="preserve">; three </w:t>
      </w:r>
      <w:r>
        <w:rPr>
          <w:rFonts w:eastAsia="Calibri" w:cs="" w:cstheme="minorBidi" w:eastAsiaTheme="minorHAnsi"/>
          <w:color w:val="auto"/>
          <w:kern w:val="0"/>
          <w:sz w:val="24"/>
          <w:szCs w:val="22"/>
          <w:lang w:val="en-US" w:eastAsia="en-US" w:bidi="ar-SA"/>
        </w:rPr>
        <w:t>examples of which will be presented shortly</w:t>
      </w:r>
      <w:r>
        <w:rPr>
          <w:rFonts w:eastAsia="Calibri" w:cs="" w:cstheme="minorBidi" w:eastAsiaTheme="minorHAnsi"/>
          <w:color w:val="auto"/>
          <w:kern w:val="0"/>
          <w:sz w:val="24"/>
          <w:szCs w:val="22"/>
          <w:lang w:val="en-US" w:eastAsia="en-US" w:bidi="ar-SA"/>
        </w:rPr>
        <w:t>. For example, based on the Visceral Loop one can make an argument that associates the behaviors of the underlying modeling mechanism to limits on the ability for self-reference and to the ability for an individual to recognize their own consciousness</w:t>
      </w:r>
      <w:r>
        <w:rPr>
          <w:rFonts w:eastAsia="Calibri" w:cs="" w:cstheme="minorBidi" w:eastAsiaTheme="minorHAnsi"/>
          <w:color w:val="auto"/>
          <w:kern w:val="0"/>
          <w:sz w:val="24"/>
          <w:szCs w:val="22"/>
          <w:lang w:val="en-US" w:eastAsia="en-US" w:bidi="ar-SA"/>
        </w:rPr>
        <w:t xml:space="preserve">.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entities, the discussion will be limited to that of humans. </w:t>
      </w:r>
      <w:r>
        <w:rPr>
          <w:rFonts w:eastAsia="Calibri" w:cs="" w:cstheme="minorBidi" w:eastAsiaTheme="minorHAnsi"/>
          <w:color w:val="auto"/>
          <w:kern w:val="0"/>
          <w:sz w:val="24"/>
          <w:szCs w:val="22"/>
          <w:lang w:val="en-US" w:eastAsia="en-US" w:bidi="ar-SA"/>
        </w:rPr>
        <w:t xml:space="preserve">Within that constraint, this paper focuses on an individual's ability to have subjective experience of its observations (eg: of external environment), to be able to rationalise (a.k.a. "think") about things, and to have subjective experience of those rationalisations. </w:t>
      </w:r>
      <w:r>
        <w:rPr>
          <w:rFonts w:eastAsia="Calibri" w:cs="" w:cstheme="minorBidi" w:eastAsiaTheme="minorHAnsi"/>
          <w:color w:val="auto"/>
          <w:kern w:val="0"/>
          <w:sz w:val="24"/>
          <w:szCs w:val="22"/>
          <w:lang w:val="en-US" w:eastAsia="en-US" w:bidi="ar-SA"/>
        </w:rPr>
        <w:t>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r>
        <w:rPr/>
        <w:t xml:space="preserve">. The exact definition of A-Cs becomes blurred somewhat due to </w:t>
      </w:r>
      <w:r>
        <w:rPr/>
        <w:t>research suggest</w:t>
      </w:r>
      <w:r>
        <w:rPr/>
        <w:t>ing</w:t>
      </w:r>
      <w:r>
        <w:rPr/>
        <w:t xml:space="preserve"> that some information can influence our subsequent thought without us being aware of it, such as in the example of blind-sight (Block, 1995).</w:t>
      </w:r>
      <w:r>
        <w:rPr/>
        <w:t xml:space="preserve"> Thus, it is arguable whether the definition of A-Cs should include subjective experience.</w:t>
      </w:r>
    </w:p>
    <w:p>
      <w:pPr>
        <w:pStyle w:val="Normal"/>
        <w:numPr>
          <w:ilvl w:val="0"/>
          <w:numId w:val="4"/>
        </w:numPr>
        <w:rPr/>
      </w:pPr>
      <w:r>
        <w:rPr>
          <w:i/>
          <w:iCs/>
        </w:rPr>
        <w:t>Phenomenal consciousness</w:t>
      </w:r>
      <w:r>
        <w:rPr/>
        <w:t xml:space="preserve"> (P-Cs)</w:t>
      </w:r>
      <w:r>
        <w:rPr/>
        <w:t>, in contrast,</w:t>
      </w:r>
      <w:r>
        <w:rPr/>
        <w:t xml:space="preserve"> refers </w:t>
      </w:r>
      <w:r>
        <w:rPr>
          <w:rFonts w:eastAsia="Calibri" w:cs="" w:cstheme="minorBidi" w:eastAsiaTheme="minorHAnsi"/>
          <w:color w:val="auto"/>
          <w:kern w:val="0"/>
          <w:sz w:val="24"/>
          <w:szCs w:val="22"/>
          <w:lang w:val="en-US" w:eastAsia="en-US" w:bidi="ar-SA"/>
        </w:rPr>
        <w:t>specifically 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xml:space="preserve">. It is often described as "what it is like" (Nagel, 1974) to be a conscious organism. In approximate terms, P-Cs is the phenomenal aspect of having experience of access consciousness. </w:t>
      </w:r>
      <w:r>
        <w:rPr/>
        <w:t>However, s</w:t>
      </w:r>
      <w:r>
        <w:rPr/>
        <w:t>ome authors believe that there is not an exact one-to-one relation between A-Cs and P-Cs; that, while they largely correlate, one can have P-Cs without A-Cs, and vice versa. That remains an open question, for which this paper does not attempt to address.</w:t>
      </w:r>
    </w:p>
    <w:p>
      <w:pPr>
        <w:pStyle w:val="Normal"/>
        <w:rPr/>
      </w:pPr>
      <w:r>
        <w:rPr/>
        <w:t xml:space="preserve">Lastly, </w:t>
      </w:r>
      <w:r>
        <w:rPr/>
        <w:t xml:space="preserve">this paper uses the term </w:t>
      </w:r>
      <w:r>
        <w:rPr>
          <w:i/>
          <w:iCs/>
        </w:rPr>
        <w:t>data content</w:t>
      </w:r>
      <w:r>
        <w:rPr/>
        <w:t xml:space="preserve"> when talking about both A-Cs and P-Cs. In that context, it is used to draw a distinction between what is </w:t>
      </w:r>
      <w:r>
        <w:rPr/>
        <w:t xml:space="preserve">and what is not </w:t>
      </w:r>
      <w:r>
        <w:rPr/>
        <w:t>present within A-Cs or P-Cs</w:t>
      </w:r>
      <w:r>
        <w:rPr/>
        <w:t xml:space="preserve">; however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w:t>
      </w:r>
      <w:r>
        <w:rPr/>
        <w:t>. For example</w:t>
      </w:r>
      <w:r>
        <w:rPr/>
        <w:t>,</w:t>
      </w:r>
      <w:r>
        <w:rPr/>
        <w:t xml:space="preserv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w:t>
      </w:r>
      <w:r>
        <w:rPr/>
        <w:t xml:space="preserve">part of </w:t>
      </w:r>
      <w:r>
        <w:rPr/>
        <w:t xml:space="preserve">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T</w:t>
      </w:r>
      <w:r>
        <w:rPr/>
        <w:t xml:space="preserve">he first observation is a straightforward example of </w:t>
      </w:r>
      <w:r>
        <w:rPr/>
        <w:t xml:space="preserve">Visceral Loop </w:t>
      </w:r>
      <w:r>
        <w:rPr/>
        <w:t xml:space="preserve">Iteration 1 that does not make any reference to the agent's theory of mind (of their own mind or of others). </w:t>
      </w:r>
      <w:r>
        <w:rPr/>
        <w:t>With reference to the formal definition of the Visceral Loop in the prior chapter, t</w:t>
      </w:r>
      <w:r>
        <w:rPr/>
        <w:t xml:space="preserve">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p>
    <w:p>
      <w:pPr>
        <w:pStyle w:val="Normal"/>
        <w:rPr/>
      </w:pPr>
      <w:r>
        <w:rPr>
          <w:rFonts w:eastAsia="Calibri" w:cs="" w:cstheme="minorBidi" w:eastAsiaTheme="minorHAnsi"/>
          <w:color w:val="auto"/>
          <w:kern w:val="0"/>
          <w:sz w:val="24"/>
          <w:szCs w:val="22"/>
          <w:lang w:val="en-US" w:eastAsia="en-US" w:bidi="ar-SA"/>
        </w:rPr>
        <w:t>Only a weak outline of a theory is offered here</w:t>
      </w:r>
      <w:r>
        <w:rPr>
          <w:rFonts w:eastAsia="Calibri" w:cs="" w:cstheme="minorBidi" w:eastAsiaTheme="minorHAnsi"/>
          <w:color w:val="auto"/>
          <w:kern w:val="0"/>
          <w:sz w:val="24"/>
          <w:szCs w:val="22"/>
          <w:lang w:val="en-US" w:eastAsia="en-US" w:bidi="ar-SA"/>
        </w:rPr>
        <w:t>, which intentionally avoids drawing a distinction between A-Cs and P-Cs. In order to draw such a distinction requires</w:t>
      </w:r>
      <w:r>
        <w:rPr>
          <w:rFonts w:eastAsia="Calibri" w:cs="" w:cstheme="minorBidi" w:eastAsiaTheme="minorHAnsi"/>
          <w:color w:val="auto"/>
          <w:kern w:val="0"/>
          <w:sz w:val="24"/>
          <w:szCs w:val="22"/>
          <w:lang w:val="en-US" w:eastAsia="en-US" w:bidi="ar-SA"/>
        </w:rPr>
        <w:t xml:space="preserve"> a full working</w:t>
      </w:r>
      <w:r>
        <w:rPr>
          <w:rFonts w:eastAsia="Calibri" w:cs="" w:cstheme="minorBidi" w:eastAsiaTheme="minorHAnsi"/>
          <w:color w:val="auto"/>
          <w:kern w:val="0"/>
          <w:sz w:val="24"/>
          <w:szCs w:val="22"/>
          <w:lang w:val="en-US" w:eastAsia="en-US" w:bidi="ar-SA"/>
        </w:rPr>
        <w:t xml:space="preserve"> that is beyond the scope of this paper</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Additionally, s</w:t>
      </w:r>
      <w:r>
        <w:rPr>
          <w:rFonts w:eastAsia="Calibri" w:cs="" w:cstheme="minorBidi" w:eastAsiaTheme="minorHAnsi"/>
          <w:color w:val="auto"/>
          <w:kern w:val="0"/>
          <w:sz w:val="24"/>
          <w:szCs w:val="22"/>
          <w:lang w:val="en-US" w:eastAsia="en-US" w:bidi="ar-SA"/>
        </w:rPr>
        <w:t>uch an analysis is hampered due to presently irreconcilable differences in opinion about the relative natures and definitions of A-Cs and P-Cs</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 Later analysis discusses briefly some of the shortcomings with th</w:t>
      </w:r>
      <w:r>
        <w:rPr>
          <w:rFonts w:eastAsia="Calibri" w:cs="" w:cstheme="minorBidi" w:eastAsiaTheme="minorHAnsi"/>
          <w:color w:val="auto"/>
          <w:kern w:val="0"/>
          <w:sz w:val="24"/>
          <w:szCs w:val="22"/>
          <w:lang w:val="en-US" w:eastAsia="en-US" w:bidi="ar-SA"/>
        </w:rPr>
        <w:t>e</w:t>
      </w:r>
      <w:r>
        <w:rPr>
          <w:rFonts w:eastAsia="Calibri" w:cs="" w:cstheme="minorBidi" w:eastAsiaTheme="minorHAnsi"/>
          <w:color w:val="auto"/>
          <w:kern w:val="0"/>
          <w:sz w:val="24"/>
          <w:szCs w:val="22"/>
          <w:lang w:val="en-US" w:eastAsia="en-US" w:bidi="ar-SA"/>
        </w:rPr>
        <w:t xml:space="preserve"> theory</w:t>
      </w:r>
      <w:r>
        <w:rPr>
          <w:rFonts w:eastAsia="Calibri" w:cs="" w:cstheme="minorBidi" w:eastAsiaTheme="minorHAnsi"/>
          <w:color w:val="auto"/>
          <w:kern w:val="0"/>
          <w:sz w:val="24"/>
          <w:szCs w:val="22"/>
          <w:lang w:val="en-US" w:eastAsia="en-US" w:bidi="ar-SA"/>
        </w:rPr>
        <w:t xml:space="preserve"> as presented</w:t>
      </w:r>
      <w:r>
        <w:rPr>
          <w:rFonts w:eastAsia="Calibri" w:cs="" w:cstheme="minorBidi" w:eastAsiaTheme="minorHAnsi"/>
          <w:color w:val="auto"/>
          <w:kern w:val="0"/>
          <w:sz w:val="24"/>
          <w:szCs w:val="22"/>
          <w:lang w:val="en-US" w:eastAsia="en-US" w:bidi="ar-SA"/>
        </w:rPr>
        <w:t>.</w:t>
      </w:r>
    </w:p>
    <w:p>
      <w:pPr>
        <w:pStyle w:val="Normal"/>
        <w:rPr/>
      </w:pPr>
      <w:r>
        <w:rPr/>
        <w:t xml:space="preserve">First an axiomatic baseline must be established. </w:t>
      </w:r>
      <w:commentRangeStart w:id="2"/>
      <w:r>
        <w:rPr/>
        <w:t xml:space="preserve">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may consciously experience something and yet be unable to subsequently think about that experience and to know that they are thinking about that experience.</w:t>
      </w:r>
      <w:r>
        <w:rPr/>
      </w:r>
      <w:commentRangeEnd w:id="2"/>
      <w:r>
        <w:commentReference w:id="2"/>
      </w:r>
      <w:r>
        <w:rPr/>
        <w:t xml:space="preserv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actually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3"/>
      <w:r>
        <w:rPr>
          <w:i/>
          <w:iCs/>
        </w:rPr>
        <w:t>content of conscious experience</w:t>
      </w:r>
      <w:r>
        <w:rPr>
          <w:i/>
          <w:iCs/>
        </w:rPr>
      </w:r>
      <w:commentRangeEnd w:id="3"/>
      <w:r>
        <w:commentReference w:id="3"/>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commentRangeStart w:id="4"/>
      <w:r>
        <w:rPr/>
        <w:t>Thought is a computational process, and thus is a series of inferences.</w:t>
      </w:r>
      <w:commentRangeEnd w:id="4"/>
      <w:r>
        <w:commentReference w:id="4"/>
      </w:r>
      <w:r>
        <w:rPr/>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The Visceral Loop can be used to understand other aspects of thought. For example, fRMI and EEG studies have suggested that we become aware of a decision after it is made (Soon et al, 2008; Libet et al, 1983). At first glance this might seem to suggest that our conscious thought</w:t>
      </w:r>
      <w:r>
        <w:rPr/>
        <w:t xml:space="preserve">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5"/>
      </w:r>
      <w:r>
        <w:rPr>
          <w:rFonts w:eastAsia="Calibri" w:cs="" w:cstheme="minorBidi" w:eastAsiaTheme="minorHAnsi"/>
          <w:color w:val="auto"/>
          <w:kern w:val="0"/>
          <w:sz w:val="24"/>
          <w:szCs w:val="22"/>
          <w:lang w:val="en-US" w:eastAsia="en-US" w:bidi="ar-SA"/>
        </w:rPr>
        <w:t>.</w:t>
      </w:r>
    </w:p>
    <w:p>
      <w:pPr>
        <w:pStyle w:val="Normal"/>
        <w:rPr/>
      </w:pPr>
      <w:r>
        <w:rPr/>
        <w:t>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w:t>
      </w:r>
      <w:r>
        <w:rPr/>
        <w:t xml:space="preserve"> and to trigger </w:t>
      </w:r>
      <w:r>
        <w:rPr>
          <w:rFonts w:eastAsia="Calibri" w:cs="" w:cstheme="minorBidi" w:eastAsiaTheme="minorHAnsi"/>
          <w:color w:val="auto"/>
          <w:kern w:val="0"/>
          <w:sz w:val="24"/>
          <w:szCs w:val="22"/>
          <w:lang w:val="en-US" w:eastAsia="en-US" w:bidi="ar-SA"/>
        </w:rPr>
        <w:t>the</w:t>
      </w:r>
      <w:r>
        <w:rPr/>
        <w:t xml:space="preserve"> resultant action. S</w:t>
      </w:r>
      <w:r>
        <w:rPr/>
        <w:t>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w:t>
      </w:r>
      <w:r>
        <w:rPr/>
        <w:t xml:space="preserve"> </w:t>
      </w:r>
      <w:r>
        <w:rPr/>
        <w:t xml:space="preserve">there is no reason to conclude </w:t>
      </w:r>
      <w:r>
        <w:rPr/>
        <w:t xml:space="preserve">from fRMI or EEG delays </w:t>
      </w:r>
      <w:r>
        <w:rPr/>
        <w:t xml:space="preserve">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w:t>
      </w:r>
      <w:r>
        <w:rPr/>
        <w:t xml:space="preserve"> and </w:t>
      </w:r>
      <w:r>
        <w:rPr/>
        <w:t>cannot be thought about depending on the capabilities of the underlying thought processing system. This section examines the Visceral Loop (VL) against some existing theory.</w:t>
      </w:r>
    </w:p>
    <w:p>
      <w:pPr>
        <w:pStyle w:val="Normal"/>
        <w:rPr/>
      </w:pPr>
      <w:r>
        <w:rPr/>
        <w:t xml:space="preserve">The VL views thought as a </w:t>
      </w:r>
      <w:r>
        <w:rPr>
          <w:i/>
          <w:iCs/>
        </w:rPr>
        <w:t>biosemiotic process</w:t>
      </w:r>
      <w:r>
        <w:rPr>
          <w:rStyle w:val="FootnoteAnchor"/>
          <w:i/>
          <w:iCs/>
        </w:rPr>
        <w:footnoteReference w:id="6"/>
      </w:r>
      <w:r>
        <w:rPr/>
        <w:t xml:space="preserve">. Semiotics is the study of signs and their interpretations, and biosemiotics looks at how semiotics plays out within biology, including neural cognition. </w:t>
      </w:r>
      <w:commentRangeStart w:id="5"/>
      <w:commentRangeStart w:id="6"/>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5"/>
      <w:r>
        <w:commentReference w:id="5"/>
      </w:r>
      <w:r>
        <w:rPr/>
        <w:t xml:space="preserve">. The intepretant may or may not accurately reflect the original referent, depending on the quality of representamen and on the ability of the system </w:t>
      </w:r>
      <w:r>
        <w:rPr/>
        <w:t xml:space="preserve">(ie: the intepreter) </w:t>
      </w:r>
      <w:r>
        <w:rPr/>
        <w:t>to infer information about the referent from the representamen.</w:t>
      </w:r>
      <w:r>
        <w:rPr/>
      </w:r>
      <w:commentRangeEnd w:id="6"/>
      <w:r>
        <w:commentReference w:id="6"/>
      </w:r>
      <w:r>
        <w:rPr/>
        <w:t xml:space="preserve"> From an external point of view, the brain acts as a semiotic process against the environment. </w:t>
      </w:r>
      <w:commentRangeStart w:id="7"/>
      <w:r>
        <w:rPr/>
        <w:t>The environment is the referent, with a concrete and actual state that the brain does not have direct awareness of. Instead, the brain uses the physical senses as a representamen of that environment, and from that representation produces an interpretant.</w:t>
      </w:r>
      <w:r>
        <w:rPr/>
      </w:r>
      <w:commentRangeEnd w:id="7"/>
      <w:r>
        <w:commentReference w:id="7"/>
      </w:r>
      <w:r>
        <w:rPr/>
        <w:t xml:space="preserve"> The VL is interested in a more internal semiotic process within the brain. The interpretant from before must itself be encoded in a representation that is subject to the constraints imposed by the specific characteristics of the underlying biological substrate. </w:t>
      </w:r>
      <w:commentRangeStart w:id="8"/>
      <w:r>
        <w:rPr/>
        <w:t>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commentRangeEnd w:id="8"/>
      <w:r>
        <w:commentReference w:id="8"/>
      </w:r>
      <w:r>
        <w:rPr/>
      </w:r>
    </w:p>
    <w:p>
      <w:pPr>
        <w:pStyle w:val="Normal"/>
        <w:rPr/>
      </w:pPr>
      <w:r>
        <w:rPr/>
        <w:t xml:space="preserve">The semiotic interpretation of cognition is important for a number of reasons. Firstly, it explains that a </w:t>
      </w:r>
      <w:commentRangeStart w:id="9"/>
      <w:r>
        <w:rPr/>
        <w:t>data state</w:t>
      </w:r>
      <w:r>
        <w:rPr/>
      </w:r>
      <w:commentRangeEnd w:id="9"/>
      <w:r>
        <w:commentReference w:id="9"/>
      </w:r>
      <w:r>
        <w:rPr/>
        <w:t xml:space="preserve"> is meaningless without a process that interprets that data state</w:t>
      </w:r>
      <w:r>
        <w:rPr/>
        <w:t>;</w:t>
      </w:r>
      <w:r>
        <w:rPr/>
        <w:t xml:space="preserv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VL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VL within an individual (with the specific representations that are possible within that process) form the individual's </w:t>
      </w:r>
      <w:commentRangeStart w:id="10"/>
      <w:r>
        <w:rPr>
          <w:i/>
          <w:iCs/>
        </w:rPr>
        <w:t>Umwelt</w:t>
      </w:r>
      <w:r>
        <w:rPr>
          <w:i/>
          <w:iCs/>
        </w:rPr>
      </w:r>
      <w:commentRangeEnd w:id="10"/>
      <w:r>
        <w:commentReference w:id="10"/>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Normal"/>
        <w:rPr/>
      </w:pPr>
      <w:r>
        <w:rPr/>
        <w:t xml:space="preserve">The VL and the biosemiotic process that it operates upon examine thought at a high-level, but the VL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w:t>
      </w:r>
      <w:r>
        <w:rPr/>
        <w:t>cy</w:t>
      </w:r>
      <w:r>
        <w:rPr/>
        <w:t xml:space="preserve"> with other theories that also examine thought at a high-level or </w:t>
      </w:r>
      <w:r>
        <w:rPr/>
        <w:t xml:space="preserve">that </w:t>
      </w:r>
      <w:r>
        <w:rPr/>
        <w:t>provide theories about the underlying mechani</w:t>
      </w:r>
      <w:r>
        <w:rPr/>
        <w:t>s</w:t>
      </w:r>
      <w:r>
        <w:rPr/>
        <w:t>ms of such high-level thought. For example, those of Higher-Order Thought Theor</w:t>
      </w:r>
      <w:r>
        <w:rPr/>
        <w:t>y (HOTT)</w:t>
      </w:r>
      <w:r>
        <w:rPr/>
        <w:t>, and Global Workspace Theory</w:t>
      </w:r>
      <w:r>
        <w:rPr/>
        <w:t xml:space="preserve"> (GWT)</w:t>
      </w:r>
      <w:r>
        <w:rPr/>
        <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 In HOTT, consciousness forms the highest layer of the hierarchy, and has access to the output from the immediate layer below, but not of further lower layers. Thus the information available for conscious thought is a unified high level abstract representation of many sub-processes. The VL does not require a HOTT architecture, but it explains how a HOTT architecture results in the specific nature of human experience in terms of what internal processes are and are not directly observable.</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Normal"/>
        <w:rPr>
          <w:i/>
          <w:i/>
          <w:iCs/>
        </w:rPr>
      </w:pPr>
      <w:r>
        <w:rPr>
          <w:i/>
          <w:iCs/>
        </w:rPr>
        <w:t xml:space="preserve">tbd: discuss how VL offers insight for consciousness in general, including for artificial agents, in a way similar to and supportive of the </w:t>
      </w:r>
      <w:r>
        <w:rPr>
          <w:rFonts w:eastAsia="Calibri" w:cs="" w:cstheme="minorBidi" w:eastAsiaTheme="minorHAnsi"/>
          <w:i/>
          <w:iCs/>
          <w:color w:val="auto"/>
          <w:kern w:val="0"/>
          <w:sz w:val="24"/>
          <w:szCs w:val="22"/>
          <w:lang w:val="en-US" w:eastAsia="en-US" w:bidi="ar-SA"/>
        </w:rPr>
        <w:t>phi theory (needs proper name) - ie: in intro to Consciousness section I suggested that I'll be sticking to just Human consciousness, now I can extend that out to non-human and artificial consciousness.</w:t>
      </w:r>
    </w:p>
    <w:p>
      <w:pPr>
        <w:pStyle w:val="Normal"/>
        <w:rPr>
          <w:i/>
          <w:i/>
          <w:iCs/>
        </w:rPr>
      </w:pPr>
      <w:r>
        <w:rPr>
          <w:rFonts w:eastAsia="Calibri" w:cs="" w:cstheme="minorBidi" w:eastAsiaTheme="minorHAnsi"/>
          <w:i/>
          <w:iCs/>
          <w:color w:val="auto"/>
          <w:kern w:val="0"/>
          <w:sz w:val="24"/>
          <w:szCs w:val="22"/>
          <w:lang w:val="en-US" w:eastAsia="en-US" w:bidi="ar-SA"/>
        </w:rPr>
        <w:t>t</w:t>
      </w:r>
      <w:r>
        <w:rPr>
          <w:rFonts w:eastAsia="Calibri" w:cs="" w:cstheme="minorBidi" w:eastAsiaTheme="minorHAnsi"/>
          <w:i/>
          <w:iCs/>
          <w:color w:val="auto"/>
          <w:kern w:val="0"/>
          <w:sz w:val="24"/>
          <w:szCs w:val="22"/>
          <w:lang w:val="en-US" w:eastAsia="en-US" w:bidi="ar-SA"/>
        </w:rPr>
        <w:t>bd: analysis of theory - Rosenthal's transitivity principle is considered a fallacy: "and then there is the .. fallacy"</w:t>
      </w:r>
    </w:p>
    <w:p>
      <w:pPr>
        <w:pStyle w:val="Heading1"/>
        <w:numPr>
          <w:ilvl w:val="0"/>
          <w:numId w:val="2"/>
        </w:numPr>
        <w:rPr/>
      </w:pPr>
      <w:r>
        <w:rPr/>
        <w:t>Summary</w:t>
      </w:r>
    </w:p>
    <w:p>
      <w:pPr>
        <w:pStyle w:val="Normal"/>
        <w:rPr/>
      </w:pPr>
      <w:commentRangeStart w:id="11"/>
      <w:r>
        <w:rPr/>
        <w:t>As bemoaned by Colograsso &amp; Mozer (2004), in the fields attempting to understand consciousness, solid computational models are rare.</w:t>
      </w:r>
      <w:r>
        <w:rPr/>
      </w:r>
      <w:commentRangeEnd w:id="11"/>
      <w:r>
        <w:commentReference w:id="11"/>
      </w:r>
      <w:r>
        <w:rPr/>
        <w:t xml:space="preserve"> </w:t>
      </w:r>
      <w:commentRangeStart w:id="12"/>
      <w:r>
        <w:rPr/>
        <w:t>The work presented here has implications for understanding consciousness, for the design of AI systems, and perhaps forms one of the necessary building blocks towards artificial general intelligence (AGI).</w:t>
      </w:r>
      <w:commentRangeEnd w:id="12"/>
      <w:r>
        <w:commentReference w:id="12"/>
      </w:r>
      <w:r>
        <w:rPr/>
      </w:r>
    </w:p>
    <w:p>
      <w:pPr>
        <w:pStyle w:val="Normal"/>
        <w:rPr/>
      </w:pPr>
      <w:r>
        <w:rPr/>
        <w:t>This paper makes the claim that agents operating within complex environments and with complex bodies require a trade-off between the inferential computing power of a single processing step versus the use of multiple iterations of a recurrent processing loop. In order to be a "good regulator" of its own non-physical actions, the agent must model its non-physical behaviors. 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tbd: Further work would be to phrase the Visceral Loop in the terms of predictive coding (Seth, Suzuki, &amp; Critchley, 2012; Millidge, Seth, Buckley, 2021)</w:t>
      </w:r>
    </w:p>
    <w:p>
      <w:pPr>
        <w:pStyle w:val="Normal"/>
        <w:rPr>
          <w:i/>
          <w:i/>
          <w:iCs/>
        </w:rPr>
      </w:pPr>
      <w:r>
        <w:rPr>
          <w:i/>
          <w:iCs/>
        </w:rPr>
        <w:t>tbd: The Visceral Loop has been shown to offer significant insight into consciousness. More work is possible here. It should be noted that there are aspects of consciousness that the Visceral Loop makes no claim over. In particular, it offers no explanation for the so called "hard problem" of phenomenal consciousness (Chalmers, 1995) - the "what it feels like" aspect of consciousness. However, the author believes that stronger claims about the natures of both access consciousness and phenomenal consciousness can yet be made, based on the framework of the Visceral Loop.</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spacing w:before="120" w:after="240"/>
        <w:rPr/>
      </w:pPr>
      <w:r>
        <w:rPr/>
        <w:t>Block, N. (1995). On a confusion about a function of consciousness.</w:t>
      </w:r>
      <w:r>
        <w:rPr/>
        <w:t xml:space="preserve"> Behav. Brain Sci.</w:t>
      </w:r>
      <w:r>
        <w:rPr/>
        <w:t>, 18</w:t>
      </w:r>
      <w:r>
        <w:rPr/>
        <w:t>:</w:t>
      </w:r>
      <w:r>
        <w:rPr/>
        <w:t>2, 227–247. doi</w:t>
      </w:r>
      <w:r>
        <w:rPr/>
        <w:t>:</w:t>
      </w:r>
      <w:r>
        <w:rPr/>
        <w:t>10.1017/S0140525X00038188</w:t>
      </w:r>
      <w:r>
        <w:rPr/>
        <w:t>.</w:t>
      </w:r>
    </w:p>
    <w:p>
      <w:pPr>
        <w:pStyle w:val="Normal"/>
        <w:rPr/>
      </w:pPr>
      <w:r>
        <w:rPr/>
        <w:t>Chalmers, D. J. (1995). Facing up to the problem of consciousness. J. Conscious. Stud.</w:t>
      </w:r>
      <w:r>
        <w:rPr/>
        <w:t>,</w:t>
      </w:r>
      <w:r>
        <w:rPr/>
        <w:t xml:space="preserve"> 2:3, 200-19. doi:10.1093/acprof:oso/9780195311105.003.0001.</w:t>
      </w:r>
    </w:p>
    <w:p>
      <w:pPr>
        <w:pStyle w:val="Normal"/>
        <w:spacing w:before="120" w:after="240"/>
        <w:rPr/>
      </w:pPr>
      <w:r>
        <w:rPr/>
        <w:t xml:space="preserve">Colagrosso, M. D., and Mozer, M. C. (2004). Theories Of Access Consciousness. </w:t>
      </w:r>
      <w:r>
        <w:rPr/>
        <w:t>Neur</w:t>
      </w:r>
      <w:r>
        <w:rPr/>
        <w:t>NIPS 2004.</w:t>
      </w:r>
    </w:p>
    <w:p>
      <w:pPr>
        <w:pStyle w:val="Normal"/>
        <w:spacing w:before="120" w:after="240"/>
        <w:rPr/>
      </w:pPr>
      <w:r>
        <w:rPr/>
        <w:t>Conant, R. C., and Ashby, W. R. (1970). Every good regulator of a system must be a model of that system. Int. J. Systems Sci., 1</w:t>
      </w:r>
      <w:r>
        <w:rPr/>
        <w:t>:</w:t>
      </w:r>
      <w:r>
        <w:rPr/>
        <w:t xml:space="preserve">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w:t>
      </w:r>
      <w:r>
        <w:rPr/>
        <w:t xml:space="preserve">and </w:t>
      </w:r>
      <w:r>
        <w:rPr/>
        <w:t xml:space="preserve">Friston, K. J. (2018). Hierarchical Active Inference: A Theory of Motivated Control. Trends in Cognitive Sciences, </w:t>
      </w:r>
      <w:r>
        <w:rPr/>
        <w:t>2:4</w:t>
      </w:r>
      <w:r>
        <w:rPr/>
        <w:t xml:space="preserve">, </w:t>
      </w:r>
      <w:r>
        <w:rPr/>
        <w:t xml:space="preserve">pp </w:t>
      </w:r>
      <w:r>
        <w:rPr/>
        <w:t xml:space="preserve">294-306. </w:t>
      </w:r>
      <w:r>
        <w:rPr>
          <w:rFonts w:eastAsia="Calibri" w:cs="" w:cstheme="minorBidi" w:eastAsiaTheme="minorHAnsi"/>
          <w:color w:val="auto"/>
          <w:kern w:val="0"/>
          <w:sz w:val="24"/>
          <w:szCs w:val="22"/>
          <w:lang w:val="en-US" w:eastAsia="en-US" w:bidi="ar-SA"/>
        </w:rPr>
        <w:t>doi:</w:t>
      </w:r>
      <w:r>
        <w:rPr/>
        <w:t>10.1016/j.tics.2018.01.009</w:t>
      </w:r>
      <w:r>
        <w:rPr/>
        <w:t>.</w:t>
      </w:r>
    </w:p>
    <w:p>
      <w:pPr>
        <w:pStyle w:val="Normal"/>
        <w:spacing w:before="120" w:after="240"/>
        <w:rPr/>
      </w:pPr>
      <w:r>
        <w:rPr/>
        <w:t xml:space="preserve">Goodfellow, I., Bengio, Y., </w:t>
      </w:r>
      <w:r>
        <w:rPr/>
        <w:t>and</w:t>
      </w:r>
      <w:r>
        <w:rPr/>
        <w:t xml:space="preserve">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w:t>
      </w:r>
      <w:r>
        <w:rPr/>
        <w:t xml:space="preserve"> et al</w:t>
      </w:r>
      <w:r>
        <w:rPr/>
        <w:t xml:space="preserve">. (2019). Brain-like object recognition with high-performing shallow recurrent anns. </w:t>
      </w:r>
      <w:r>
        <w:rPr/>
        <w:t>NeurIPS 2019</w:t>
      </w:r>
      <w:r>
        <w:rPr/>
        <w:t>,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w:t>
      </w:r>
      <w:r>
        <w:rPr/>
        <w:t xml:space="preserve"> </w:t>
      </w:r>
      <w:r>
        <w:rPr/>
        <w:t xml:space="preserve">J. Artif. Intell. Res., 69, </w:t>
      </w:r>
      <w:r>
        <w:rPr/>
        <w:t xml:space="preserve">pp </w:t>
      </w:r>
      <w:r>
        <w:rPr/>
        <w:t xml:space="preserve">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 xml:space="preserve">Libet, B., Gleason, C. A., Wright, E. W., </w:t>
      </w:r>
      <w:r>
        <w:rPr/>
        <w:t>and</w:t>
      </w:r>
      <w:r>
        <w:rPr/>
        <w:t xml:space="preserve"> Pearl, D. K. (1983). Time of conscious intention to act in relation to onset of cerebral activity (readiness-potential). The unconscious initiation of a freely voluntary act. Brain: a journal of neurology, 106</w:t>
      </w:r>
      <w:r>
        <w:rPr/>
        <w:t>:</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3"/>
      <w:r>
        <w:rPr/>
        <w:t>Millidge, B., Seth, A., Buckley, C. L. Predictive Coding: a Theoretical and Experimental Review. https://arxiv.org/abs/2107.12979</w:t>
      </w:r>
      <w:commentRangeEnd w:id="13"/>
      <w:r>
        <w:commentReference w:id="13"/>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r>
        <w:rPr/>
        <w:t>.</w:t>
      </w:r>
    </w:p>
    <w:p>
      <w:pPr>
        <w:pStyle w:val="Normal"/>
        <w:spacing w:before="120" w:after="240"/>
        <w:rPr/>
      </w:pPr>
      <w:r>
        <w:rPr/>
        <w:t>Nagel, T. (1974). What Is It Like to Be a Bat?. The Philosophical Review, 83</w:t>
      </w:r>
      <w:r>
        <w:rPr/>
        <w:t>:</w:t>
      </w:r>
      <w:r>
        <w:rPr/>
        <w:t xml:space="preserve">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Proske, U.,</w:t>
      </w:r>
      <w:r>
        <w:rPr/>
        <w:t xml:space="preserve"> </w:t>
      </w:r>
      <w:r>
        <w:rPr/>
        <w:t>and</w:t>
      </w:r>
      <w:r>
        <w:rPr/>
        <w:t xml:space="preserve"> </w:t>
      </w:r>
      <w:r>
        <w:rPr/>
        <w:t>Gandevia, S. C. (2012). The Proprioceptive Senses: Their Roles in Signaling Body Shape, Body Position and Movement, and Muscle Force. Physiol. Rev.</w:t>
      </w:r>
      <w:r>
        <w:rPr/>
        <w:t xml:space="preserve">, </w:t>
      </w:r>
      <w:r>
        <w:rPr/>
        <w:t>92:4,</w:t>
      </w:r>
      <w:r>
        <w:rPr/>
        <w:t xml:space="preserve"> </w:t>
      </w:r>
      <w:r>
        <w:rPr/>
        <w:t xml:space="preserve">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w:t>
      </w:r>
      <w:r>
        <w:rPr/>
        <w:t>"</w:t>
      </w:r>
      <w:r>
        <w:rPr/>
        <w:t>A Theory of Consciousness</w:t>
      </w:r>
      <w:r>
        <w:rPr/>
        <w:t>,"</w:t>
      </w:r>
      <w:r>
        <w:rPr/>
        <w:t xml:space="preserve"> </w:t>
      </w:r>
      <w:r>
        <w:rPr/>
        <w:t>i</w:t>
      </w:r>
      <w:r>
        <w:rPr/>
        <w:t>n The Nature of Consciousness: Philosophical Debates</w:t>
      </w:r>
      <w:r>
        <w:rPr/>
        <w:t xml:space="preserve">, ed. </w:t>
      </w:r>
      <w:r>
        <w:rPr/>
        <w:t xml:space="preserve">N. Block, O. Flanagan, </w:t>
      </w:r>
      <w:r>
        <w:rPr>
          <w:rFonts w:eastAsia="Calibri" w:cs="" w:cstheme="minorBidi" w:eastAsiaTheme="minorHAnsi"/>
          <w:color w:val="auto"/>
          <w:kern w:val="0"/>
          <w:sz w:val="24"/>
          <w:szCs w:val="22"/>
          <w:lang w:val="en-US" w:eastAsia="en-US" w:bidi="ar-SA"/>
        </w:rPr>
        <w:t>and</w:t>
      </w:r>
      <w:r>
        <w:rPr/>
        <w:t xml:space="preserve"> G. Güzeldere</w:t>
      </w:r>
      <w:r>
        <w:rPr/>
        <w:t xml:space="preserve"> (Cambridge, </w:t>
      </w:r>
      <w:r>
        <w:rPr>
          <w:rFonts w:eastAsia="Calibri" w:cs="" w:cstheme="minorBidi" w:eastAsiaTheme="minorHAnsi"/>
          <w:color w:val="auto"/>
          <w:kern w:val="0"/>
          <w:sz w:val="24"/>
          <w:szCs w:val="22"/>
          <w:lang w:val="en-US" w:eastAsia="en-US" w:bidi="ar-SA"/>
        </w:rPr>
        <w:t>MA</w:t>
      </w:r>
      <w:r>
        <w:rPr/>
        <w:t>: MIT Press/Bradford Books)</w:t>
      </w:r>
      <w:r>
        <w:rPr/>
        <w:t>, 729-753.</w:t>
      </w:r>
    </w:p>
    <w:p>
      <w:pPr>
        <w:pStyle w:val="Normal"/>
        <w:spacing w:before="120" w:after="240"/>
        <w:rPr/>
      </w:pPr>
      <w:r>
        <w:rPr/>
        <w:t>Rosenthal, D.</w:t>
      </w:r>
      <w:r>
        <w:rPr/>
        <w:t xml:space="preserve"> </w:t>
      </w:r>
      <w:r>
        <w:rPr/>
        <w:t xml:space="preserve">M. (2006). </w:t>
      </w:r>
      <w:r>
        <w:rPr/>
        <w:t>"</w:t>
      </w:r>
      <w:r>
        <w:rPr/>
        <w:t>Consciousness and Higher-Order Thought</w:t>
      </w:r>
      <w:r>
        <w:rPr/>
        <w:t>," in</w:t>
      </w:r>
      <w:r>
        <w:rPr/>
        <w:t xml:space="preserve"> Encyclopedia of Cognitive</w:t>
      </w:r>
      <w:r>
        <w:rPr>
          <w:rFonts w:eastAsia="Calibri" w:cs="" w:cstheme="minorBidi" w:eastAsiaTheme="minorHAnsi"/>
          <w:color w:val="auto"/>
          <w:kern w:val="0"/>
          <w:sz w:val="24"/>
          <w:szCs w:val="22"/>
          <w:lang w:val="en-US" w:eastAsia="en-US" w:bidi="ar-SA"/>
        </w:rPr>
        <w:t xml:space="preserve"> </w:t>
      </w:r>
      <w:r>
        <w:rPr/>
        <w:t xml:space="preserve">Science, </w:t>
      </w:r>
      <w:r>
        <w:rPr/>
        <w:t xml:space="preserve">ed. </w:t>
      </w:r>
      <w:r>
        <w:rPr/>
        <w:t>L. Nadel</w:t>
      </w:r>
      <w:r>
        <w:rPr/>
        <w:t>,</w:t>
      </w:r>
      <w:r>
        <w:rPr/>
        <w:t xml:space="preserve"> </w:t>
      </w:r>
      <w:r>
        <w:rPr>
          <w:rFonts w:eastAsia="Calibri" w:cs="" w:cstheme="minorBidi" w:eastAsiaTheme="minorHAnsi"/>
          <w:color w:val="auto"/>
          <w:kern w:val="0"/>
          <w:sz w:val="24"/>
          <w:szCs w:val="22"/>
          <w:lang w:val="en-US" w:eastAsia="en-US" w:bidi="ar-SA"/>
        </w:rPr>
        <w:t>doi:</w:t>
      </w:r>
      <w:r>
        <w:rPr/>
        <w:t>10.1002/0470018860.s00149</w:t>
      </w:r>
      <w:r>
        <w:rPr/>
        <w:t>.</w:t>
      </w:r>
    </w:p>
    <w:p>
      <w:pPr>
        <w:pStyle w:val="Normal"/>
        <w:spacing w:before="120" w:after="240"/>
        <w:rPr/>
      </w:pPr>
      <w:r>
        <w:rPr/>
        <w:t>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w:t>
      </w:r>
      <w:r>
        <w:rPr/>
        <w:t>:</w:t>
      </w:r>
      <w:r>
        <w:rPr/>
        <w:t>30</w:t>
      </w:r>
      <w:r>
        <w:rPr/>
        <w:t>,</w:t>
      </w:r>
      <w:r>
        <w:rPr/>
        <w:t xml:space="preserve"> </w:t>
      </w:r>
      <w:r>
        <w:rPr>
          <w:rFonts w:eastAsia="Calibri" w:cs="" w:cstheme="minorBidi" w:eastAsiaTheme="minorHAnsi"/>
          <w:color w:val="auto"/>
          <w:kern w:val="0"/>
          <w:sz w:val="24"/>
          <w:szCs w:val="22"/>
          <w:lang w:val="en-US" w:eastAsia="en-US" w:bidi="ar-SA"/>
        </w:rPr>
        <w:t>doi:</w:t>
      </w:r>
      <w:r>
        <w:rPr/>
        <w:t>10.3389/frai.2020.00030</w:t>
      </w:r>
      <w:r>
        <w:rPr/>
        <w:t>.</w:t>
      </w:r>
    </w:p>
    <w:p>
      <w:pPr>
        <w:pStyle w:val="Normal"/>
        <w:spacing w:before="120" w:after="240"/>
        <w:rPr/>
      </w:pPr>
      <w:r>
        <w:rPr/>
        <w:t>Seth</w:t>
      </w:r>
      <w:r>
        <w:rPr/>
        <w:t xml:space="preserve">, </w:t>
      </w:r>
      <w:r>
        <w:rPr/>
        <w:t>A</w:t>
      </w:r>
      <w:r>
        <w:rPr/>
        <w:t xml:space="preserve">. </w:t>
      </w:r>
      <w:r>
        <w:rPr/>
        <w:t>K</w:t>
      </w:r>
      <w:r>
        <w:rPr/>
        <w:t>.</w:t>
      </w:r>
      <w:r>
        <w:rPr/>
        <w:t>, Suzuki</w:t>
      </w:r>
      <w:r>
        <w:rPr/>
        <w:t>,</w:t>
      </w:r>
      <w:r>
        <w:rPr/>
        <w:t xml:space="preserve"> K</w:t>
      </w:r>
      <w:r>
        <w:rPr/>
        <w:t>.,</w:t>
      </w:r>
      <w:r>
        <w:rPr/>
        <w:t xml:space="preserve"> and Critchley</w:t>
      </w:r>
      <w:r>
        <w:rPr/>
        <w:t>,</w:t>
      </w:r>
      <w:r>
        <w:rPr/>
        <w:t xml:space="preserve"> H</w:t>
      </w:r>
      <w:r>
        <w:rPr/>
        <w:t xml:space="preserve">. </w:t>
      </w:r>
      <w:r>
        <w:rPr/>
        <w:t>D</w:t>
      </w:r>
      <w:r>
        <w:rPr/>
        <w:t>.</w:t>
      </w:r>
      <w:r>
        <w:rPr/>
        <w:t xml:space="preserve"> (2012)</w:t>
      </w:r>
      <w:r>
        <w:rPr/>
        <w:t>.</w:t>
      </w:r>
      <w:r>
        <w:rPr/>
        <w:t xml:space="preserve"> An interoceptive predictive coding model of conscious presence. Front. Psychol</w:t>
      </w:r>
      <w:r>
        <w:rPr/>
        <w:t>.,</w:t>
      </w:r>
      <w:r>
        <w:rPr/>
        <w:t xml:space="preserve"> 2:395. doi:10.3389/fpsyg.2011.00395</w:t>
      </w:r>
      <w:r>
        <w:rPr/>
        <w:t>.</w:t>
      </w:r>
    </w:p>
    <w:p>
      <w:pPr>
        <w:pStyle w:val="Normal"/>
        <w:spacing w:before="120" w:after="240"/>
        <w:rPr/>
      </w:pPr>
      <w:r>
        <w:rPr/>
        <w:t>Soon, C. S., Brass, M., Heinze, H. J., &amp; Haynes, J. D. (2008). Unconscious determinants of free decisions in the human brain. Nat</w:t>
      </w:r>
      <w:r>
        <w:rPr/>
        <w:t>.</w:t>
      </w:r>
      <w:r>
        <w:rPr/>
        <w:t xml:space="preserve"> </w:t>
      </w:r>
      <w:r>
        <w:rPr/>
        <w:t>N</w:t>
      </w:r>
      <w:r>
        <w:rPr/>
        <w:t>eurosci</w:t>
      </w:r>
      <w:r>
        <w:rPr/>
        <w:t>.</w:t>
      </w:r>
      <w:r>
        <w:rPr/>
        <w:t>, 11</w:t>
      </w:r>
      <w:r>
        <w:rPr/>
        <w:t>:</w:t>
      </w:r>
      <w:r>
        <w:rPr/>
        <w:t>5, 543–545</w:t>
      </w:r>
      <w:r>
        <w:rPr/>
        <w:t>,</w:t>
      </w:r>
      <w:r>
        <w:rPr/>
        <w:t xml:space="preserve"> </w:t>
      </w:r>
      <w:r>
        <w:rPr>
          <w:rFonts w:eastAsia="Calibri" w:cs="" w:cstheme="minorBidi" w:eastAsiaTheme="minorHAnsi"/>
          <w:color w:val="auto"/>
          <w:kern w:val="0"/>
          <w:sz w:val="24"/>
          <w:szCs w:val="22"/>
          <w:lang w:val="en-US" w:eastAsia="en-US" w:bidi="ar-SA"/>
        </w:rPr>
        <w:t>doi:</w:t>
      </w:r>
      <w:r>
        <w:rPr/>
        <w:t>10.1038/nn.2112.</w:t>
      </w:r>
    </w:p>
    <w:p>
      <w:pPr>
        <w:pStyle w:val="Normal"/>
        <w:spacing w:before="120" w:after="240"/>
        <w:rPr/>
      </w:pPr>
      <w:r>
        <w:rPr/>
        <w:t xml:space="preserve">van Bergen, R. S., </w:t>
      </w:r>
      <w:r>
        <w:rPr/>
        <w:t xml:space="preserve">and </w:t>
      </w:r>
      <w:r>
        <w:rPr/>
        <w:t xml:space="preserve">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r>
        <w:rPr/>
        <w:t>.</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w:t>
      </w:r>
      <w:r>
        <w:rPr/>
        <w:t xml:space="preserve">, </w:t>
      </w:r>
      <w:r>
        <w:rPr/>
        <w:t>5266-5275</w:t>
      </w:r>
    </w:p>
    <w:p>
      <w:pPr>
        <w:pStyle w:val="Normal"/>
        <w:spacing w:before="120" w:after="240"/>
        <w:rPr/>
      </w:pPr>
      <w:r>
        <w:rPr/>
      </w:r>
    </w:p>
    <w:sectPr>
      <w:headerReference w:type="even" r:id="rId3"/>
      <w:headerReference w:type="default" r:id="rId4"/>
      <w:headerReference w:type="first" r:id="rId5"/>
      <w:footerReference w:type="even" r:id="rId6"/>
      <w:footerReference w:type="default" r:id="rId7"/>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30:0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believe this to be a fallacy</w:t>
      </w:r>
    </w:p>
  </w:comment>
  <w:comment w:id="3" w:author="Unknown Author" w:date="2021-12-27T09:28:08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4" w:author="Unknown Author" w:date="2021-12-27T09:29:1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claim that P-Cs isn’t a computational process.</w:t>
      </w:r>
    </w:p>
  </w:comment>
  <w:comment w:id="5" w:author="Unknown Author" w:date="2021-12-27T10:37:5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6" w:author="Unknown Author" w:date="2021-12-27T10:34:05Z" w:initials="">
    <w:p>
      <w:r>
        <w:rPr>
          <w:rFonts w:cs="" w:cstheme="minorBidi" w:ascii="Cambria" w:hAnsi="Cambria"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Needs a diagram.</w:t>
      </w:r>
    </w:p>
    <w:p>
      <w:r>
        <w:rPr>
          <w:rFonts w:cs="" w:cstheme="minorBidi" w:ascii="Cambria" w:hAnsi="Cambria"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Hand-thumb-up → interpretation as good, as wanting a ride, as a question.</w:t>
      </w:r>
    </w:p>
  </w:comment>
  <w:comment w:id="7" w:author="Unknown Author" w:date="2021-12-27T10:34:27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Possible diagram: individual lines and dots → intepreted as a cat</w:t>
      </w:r>
    </w:p>
  </w:comment>
  <w:comment w:id="8" w:author="Unknown Author" w:date="2021-12-27T10:35:0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Possible diagram: </w:t>
      </w:r>
    </w:p>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 interpreted as “hungry” → reinterpreted in order to act on it.</w:t>
      </w:r>
    </w:p>
  </w:comment>
  <w:comment w:id="9" w:author="Unknown Author" w:date="2021-12-27T10:20:33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10" w:author="Unknown Author" w:date="2021-12-26T11:29:1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p>
  </w:comment>
  <w:comment w:id="11" w:author="Unknown Author" w:date="2021-12-26T11:29:39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Remove this</w:t>
      </w:r>
    </w:p>
  </w:comment>
  <w:comment w:id="12" w:author="Unknown Author" w:date="2021-12-26T11:29:51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Intro needs work</w:t>
      </w:r>
    </w:p>
  </w:comment>
  <w:comment w:id="13" w:author="Unknown Author" w:date="2021-12-27T07:33:4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13" wp14:anchorId="51D4B8BD">
              <wp:simplePos x="0" y="0"/>
              <wp:positionH relativeFrom="margin">
                <wp:align>right</wp:align>
              </wp:positionH>
              <wp:positionV relativeFrom="paragraph">
                <wp:posOffset>635</wp:posOffset>
              </wp:positionV>
              <wp:extent cx="1510665" cy="433705"/>
              <wp:effectExtent l="0" t="0" r="0" b="0"/>
              <wp:wrapNone/>
              <wp:docPr id="6" name="Text Box 1"/>
              <a:graphic xmlns:a="http://schemas.openxmlformats.org/drawingml/2006/main">
                <a:graphicData uri="http://schemas.microsoft.com/office/word/2010/wordprocessingShape">
                  <wps:wsp>
                    <wps:cNvSpPr/>
                    <wps:spPr>
                      <a:xfrm>
                        <a:off x="0" y="0"/>
                        <a:ext cx="151020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12</w:t>
                          </w:r>
                          <w:r>
                            <w:rPr>
                              <w:szCs w:val="40"/>
                            </w:rPr>
                            <w:fldChar w:fldCharType="end"/>
                          </w:r>
                        </w:p>
                      </w:txbxContent>
                    </wps:txbx>
                    <wps:bodyPr>
                      <a:spAutoFit/>
                    </wps:bodyPr>
                  </wps:wsp>
                </a:graphicData>
              </a:graphic>
            </wp:anchor>
          </w:drawing>
        </mc:Choice>
        <mc:Fallback>
          <w:pict>
            <v:rect id="shape_0" ID="Text Box 1" stroked="f" style="position:absolute;margin-left:369.9pt;margin-top:0.05pt;width:118.85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12</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19" wp14:anchorId="31D8D0F9">
              <wp:simplePos x="0" y="0"/>
              <wp:positionH relativeFrom="column">
                <wp:posOffset>-108585</wp:posOffset>
              </wp:positionH>
              <wp:positionV relativeFrom="paragraph">
                <wp:posOffset>-54610</wp:posOffset>
              </wp:positionV>
              <wp:extent cx="3674110" cy="434975"/>
              <wp:effectExtent l="0" t="0" r="4445" b="0"/>
              <wp:wrapNone/>
              <wp:docPr id="8" name="Text Box 2"/>
              <a:graphic xmlns:a="http://schemas.openxmlformats.org/drawingml/2006/main">
                <a:graphicData uri="http://schemas.microsoft.com/office/word/2010/wordprocessingShape">
                  <wps:wsp>
                    <wps:cNvSpPr/>
                    <wps:spPr>
                      <a:xfrm>
                        <a:off x="0" y="0"/>
                        <a:ext cx="367344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3pt;width:289.2pt;height:34.1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7" wp14:anchorId="2C4AF3B6">
              <wp:simplePos x="0" y="0"/>
              <wp:positionH relativeFrom="margin">
                <wp:align>right</wp:align>
              </wp:positionH>
              <wp:positionV relativeFrom="paragraph">
                <wp:posOffset>635</wp:posOffset>
              </wp:positionV>
              <wp:extent cx="1510665" cy="433705"/>
              <wp:effectExtent l="0" t="0" r="0" b="0"/>
              <wp:wrapNone/>
              <wp:docPr id="10" name="Text Box 56"/>
              <a:graphic xmlns:a="http://schemas.openxmlformats.org/drawingml/2006/main">
                <a:graphicData uri="http://schemas.microsoft.com/office/word/2010/wordprocessingShape">
                  <wps:wsp>
                    <wps:cNvSpPr/>
                    <wps:spPr>
                      <a:xfrm>
                        <a:off x="0" y="0"/>
                        <a:ext cx="151020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wps:txbx>
                    <wps:bodyPr>
                      <a:spAutoFit/>
                    </wps:bodyPr>
                  </wps:wsp>
                </a:graphicData>
              </a:graphic>
            </wp:anchor>
          </w:drawing>
        </mc:Choice>
        <mc:Fallback>
          <w:pict>
            <v:rect id="shape_0" ID="Text Box 56" stroked="f" style="position:absolute;margin-left:369.9pt;margin-top:0.05pt;width:118.85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 w:id="5">
    <w:p>
      <w:pPr>
        <w:pStyle w:val="Footnote"/>
        <w:spacing w:before="120" w:after="0"/>
        <w:rPr/>
      </w:pPr>
      <w:r>
        <w:rPr>
          <w:rStyle w:val="FootnoteCharacters"/>
        </w:rPr>
        <w:footnoteRef/>
      </w:r>
      <w:r>
        <w:rPr/>
        <w:t>https://plato.stanford.edu/entries/epiphenomenalism/</w:t>
      </w:r>
    </w:p>
  </w:footnote>
  <w:footnote w:id="6">
    <w:p>
      <w:pPr>
        <w:pStyle w:val="Footnote"/>
        <w:spacing w:before="120" w:after="0"/>
        <w:rPr/>
      </w:pPr>
      <w:r>
        <w:rPr>
          <w:rStyle w:val="FootnoteCharacters"/>
        </w:rPr>
        <w:footnoteRef/>
      </w:r>
      <w:r>
        <w:rPr/>
        <w:t>https://en.wikipedia.org/wiki/Biosemiotics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5"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36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65</TotalTime>
  <Application>LibreOffice/6.4.1.2$Windows_X86_64 LibreOffice_project/4d224e95b98b138af42a64d84056446d09082932</Application>
  <Pages>13</Pages>
  <Words>6081</Words>
  <Characters>32582</Characters>
  <CharactersWithSpaces>38487</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2021-12-27T10:41:32Z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