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comments.xml" ContentType="application/vnd.openxmlformats-officedocument.wordprocessingml.comment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footnotes.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All of the systems described above are of the form</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such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Alternatively, consider the following diagram, which shows an abstract syntax tree</w:t>
      </w:r>
      <w:r>
        <w:rPr>
          <w:rStyle w:val="FootnoteAnchor"/>
        </w:rPr>
        <w:footnoteReference w:id="3"/>
      </w:r>
      <w:r>
        <w:rPr/>
        <w:t xml:space="preserve"> (AST) of the function above, of the sort used in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51680" cy="3569335"/>
                <wp:effectExtent l="0" t="0" r="0" b="0"/>
                <wp:wrapTopAndBottom/>
                <wp:docPr id="1" name="Frame4"/>
                <a:graphic xmlns:a="http://schemas.openxmlformats.org/drawingml/2006/main">
                  <a:graphicData uri="http://schemas.microsoft.com/office/word/2010/wordprocessingShape">
                    <wps:wsp>
                      <wps:cNvSpPr/>
                      <wps:spPr>
                        <a:xfrm>
                          <a:off x="0" y="0"/>
                          <a:ext cx="4551120" cy="3568680"/>
                        </a:xfrm>
                        <a:prstGeom prst="rect">
                          <a:avLst/>
                        </a:prstGeom>
                        <a:noFill/>
                        <a:ln>
                          <a:noFill/>
                        </a:ln>
                      </wps:spPr>
                      <wps:style>
                        <a:lnRef idx="0"/>
                        <a:fillRef idx="0"/>
                        <a:effectRef idx="0"/>
                        <a:fontRef idx="minor"/>
                      </wps:style>
                      <wps:txbx>
                        <w:txbxContent>
                          <w:p>
                            <w:pPr>
                              <w:pStyle w:val="Figure"/>
                              <w:spacing w:before="120" w:after="120"/>
                              <w:rPr>
                                <w:color w:val="000000"/>
                              </w:rPr>
                            </w:pPr>
                            <w:r>
                              <w:rPr/>
                              <w:drawing>
                                <wp:inline distT="0" distB="0" distL="0" distR="0">
                                  <wp:extent cx="4549775" cy="32829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(tbd: needs caption)</w:t>
                            </w:r>
                          </w:p>
                        </w:txbxContent>
                      </wps:txbx>
                      <wps:bodyPr lIns="0" rIns="0" tIns="0" bIns="0">
                        <a:noAutofit/>
                      </wps:bodyPr>
                    </wps:wsp>
                  </a:graphicData>
                </a:graphic>
              </wp:anchor>
            </w:drawing>
          </mc:Choice>
          <mc:Fallback>
            <w:pict>
              <v:rect id="shape_0" ID="Frame4" stroked="f" style="position:absolute;margin-left:65.2pt;margin-top:0.05pt;width:358.3pt;height:280.95pt;mso-position-horizontal:center">
                <w10:wrap type="square"/>
                <v:fill o:detectmouseclick="t" on="false"/>
                <v:stroke color="#3465a4" joinstyle="round" endcap="flat"/>
                <v:textbox>
                  <w:txbxContent>
                    <w:p>
                      <w:pPr>
                        <w:pStyle w:val="Figure"/>
                        <w:spacing w:before="120" w:after="120"/>
                        <w:rPr>
                          <w:color w:val="000000"/>
                        </w:rPr>
                      </w:pPr>
                      <w:r>
                        <w:rPr/>
                        <w:drawing>
                          <wp:inline distT="0" distB="0" distL="0" distR="0">
                            <wp:extent cx="4549775" cy="32829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color w:val="000000"/>
                        </w:rPr>
                        <w:br/>
                      </w:r>
                      <w:r>
                        <w:rPr>
                          <w:color w:val="000000"/>
                        </w:rPr>
                        <w:t xml:space="preserve">Figure </w:t>
                      </w:r>
                      <w:r>
                        <w:rPr/>
                        <w:fldChar w:fldCharType="begin"/>
                      </w:r>
                      <w:r>
                        <w:rPr/>
                        <w:instrText> SEQ Figure \* ARABIC </w:instrText>
                      </w:r>
                      <w:r>
                        <w:rPr/>
                        <w:fldChar w:fldCharType="separate"/>
                      </w:r>
                      <w:r>
                        <w:rPr/>
                        <w:t>1</w:t>
                      </w:r>
                      <w:r>
                        <w:rPr/>
                        <w:fldChar w:fldCharType="end"/>
                      </w:r>
                      <w:r>
                        <w:rPr>
                          <w:color w:val="000000"/>
                        </w:rPr>
                        <w:t>: (tbd: needs caption)</w:t>
                      </w:r>
                    </w:p>
                  </w:txbxContent>
                </v:textbox>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There is also </w:t>
      </w:r>
      <w:r>
        <w:rPr>
          <w:i/>
          <w:iCs/>
        </w:rPr>
        <w:t>model-based</w:t>
      </w:r>
      <w:r>
        <w:rPr/>
        <w:t xml:space="preserve"> RL. One variant of </w:t>
      </w:r>
      <w:r>
        <w:rPr>
          <w:i w:val="false"/>
          <w:iCs w:val="false"/>
        </w:rPr>
        <w:t>model-based</w:t>
      </w:r>
      <w:r>
        <w:rPr/>
        <w:t xml:space="preserve"> RL uses ANNs to predict the expected outcome of executing an action. The introspective ability here is the same as for model-free deep RL -  the ANN is treated as a function. For the RL models mentioned so far, the set </w:t>
      </w:r>
      <w:r>
        <w:rPr>
          <w:caps w:val="false"/>
          <w:smallCaps w:val="false"/>
          <w:color w:val="373637"/>
          <w:spacing w:val="0"/>
        </w:rPr>
        <w:t>ℱ</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However, a significant point to note here is that ANNs, and neural networks in general, may not lend themselves naturally to introspection on their own.</w:t>
      </w:r>
    </w:p>
    <w:p>
      <w:pPr>
        <w:pStyle w:val="Normal"/>
        <w:rPr/>
      </w:pPr>
      <w:r>
        <w:rPr/>
        <w:t>For that reason, a third form of model exists, whereby a secondary model predicts the behaviors of the former. The secondary model may, for example, be a second ANN that captures aspects of the same underlying system but at a more macro level, and it may be more suitable for integration with other data. This macro representation is at the core of the theory of Higher Order Thought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pPr>
      <w:r>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kind of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w:p>
    <w:p>
      <w:pPr>
        <w:pStyle w:val="Heading1"/>
        <w:numPr>
          <w:ilvl w:val="0"/>
          <w:numId w:val="2"/>
        </w:numPr>
        <w:rPr/>
      </w:pPr>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presented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Firstly, as so little is known of the nature of consciousness within non-human animals or in artificial entities, the discussion will be limited to that of humans. Within that constraint, this paper focuses on an individual's ability to have subjective experience of its observations (eg: of external environment), to be able to rationalise (a.k.a. "think") about things, and to have subjective experience of those rationalisations.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 The exact definition of A-Cs becomes blurred somewhat due to research suggesting that some information can influence our subsequent thought without us being aware of it, such as in the example of blind-sight (Block, 1995). Thus, it is arguable whether the definition of A-Cs should include subjective experience.</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specifically 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 (Nagel, 1974) to be a conscious organism. In approximate terms, P-Cs is the phenomenal aspect of having experience of access consciousness. However, some authors believe that there is not an exact one-to-one relation between A-Cs and P-Cs; that, while they largely correlate, one can have P-Cs without A-Cs, and vice versa. That remains an open question, for which this paper does not attempt to address.</w:t>
      </w:r>
    </w:p>
    <w:p>
      <w:pPr>
        <w:pStyle w:val="Normal"/>
        <w:rPr/>
      </w:pPr>
      <w:r>
        <w:rPr/>
        <w:t xml:space="preserve">Lastly, this paper uses the term </w:t>
      </w:r>
      <w:r>
        <w:rPr>
          <w:i/>
          <w:iCs/>
        </w:rPr>
        <w:t>data content</w:t>
      </w:r>
      <w:r>
        <w:rPr/>
        <w:t xml:space="preserve"> when talking about both A-Cs and P-Cs. In that context, it is used to draw a distinction between what is and what is not present within A-Cs or P-Cs; however it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p>
    <w:p>
      <w:pPr>
        <w:pStyle w:val="Normal"/>
        <w:rPr/>
      </w:pPr>
      <w:r>
        <w:rPr>
          <w:rFonts w:eastAsia="Calibri" w:cs="" w:cstheme="minorBidi" w:eastAsiaTheme="minorHAnsi"/>
          <w:color w:val="auto"/>
          <w:kern w:val="0"/>
          <w:sz w:val="24"/>
          <w:szCs w:val="22"/>
          <w:lang w:val="en-US" w:eastAsia="en-US" w:bidi="ar-SA"/>
        </w:rPr>
        <w:t>Only a weak outline of a theory is offered here, which intentionally avoids drawing a distinction between A-Cs and P-Cs. In order to draw such a distinction requires a full working that is beyond the scope of this paper. Additionally, such an analysis is hampered due to presently irreconcilable differences in opinion about the relative natures and definitions of A-Cs and P-Cs</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 Later analysis discusses briefly some of the shortcomings with the theory as presented.</w:t>
      </w:r>
    </w:p>
    <w:p>
      <w:pPr>
        <w:pStyle w:val="Normal"/>
        <w:rPr/>
      </w:pPr>
      <w:r>
        <w:rPr/>
        <w:t xml:space="preserve">First an axiomatic baseline must be established. </w:t>
      </w:r>
      <w:commentRangeStart w:id="2"/>
      <w:r>
        <w:rPr/>
        <w:t xml:space="preserve">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may consciously experience something and yet be unable to subsequently think about that experience and to know that they are thinking about that experience.</w:t>
      </w:r>
      <w:r>
        <w:rPr/>
      </w:r>
      <w:commentRangeEnd w:id="2"/>
      <w:r>
        <w:commentReference w:id="2"/>
      </w:r>
      <w:r>
        <w:rPr/>
        <w:t xml:space="preserv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3"/>
      <w:r>
        <w:rPr>
          <w:i/>
          <w:iCs/>
        </w:rPr>
        <w:t>content of conscious experience</w:t>
      </w:r>
      <w:r>
        <w:rPr>
          <w:i/>
          <w:iCs/>
        </w:rPr>
      </w:r>
      <w:commentRangeEnd w:id="3"/>
      <w:r>
        <w:commentReference w:id="3"/>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commentRangeStart w:id="4"/>
      <w:r>
        <w:rPr/>
        <w:t>Thought is a computational process, and thus is a series of inferences.</w:t>
      </w:r>
      <w:commentRangeEnd w:id="4"/>
      <w:r>
        <w:commentReference w:id="4"/>
      </w:r>
      <w:r>
        <w:rPr/>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5"/>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(VL) against some existing theory.</w:t>
      </w:r>
    </w:p>
    <w:p>
      <w:pPr>
        <w:pStyle w:val="Normal"/>
        <w:rPr/>
      </w:pPr>
      <w:r>
        <w:rPr/>
        <w:t xml:space="preserve">The VL views thought as a </w:t>
      </w:r>
      <w:r>
        <w:rPr>
          <w:i/>
          <w:iCs/>
        </w:rPr>
        <w:t>biosemiotic process</w:t>
      </w:r>
      <w:r>
        <w:rPr>
          <w:rStyle w:val="FootnoteAnchor"/>
          <w:i/>
          <w:iCs/>
        </w:rPr>
        <w:footnoteReference w:id="6"/>
      </w:r>
      <w:r>
        <w:rPr/>
        <w:t xml:space="preserve">. Semiotics is the study of signs and their interpretations, and biosemiotics looks at how semiotics plays out within biology, including neural cognition. </w:t>
      </w:r>
      <w:commentRangeStart w:id="5"/>
      <w:commentRangeStart w:id="6"/>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6"/>
      <w:r>
        <w:commentReference w:id="6"/>
      </w:r>
      <w:r>
        <w:rPr/>
        <w:t>. The intepretant may or may not accurately reflect the original referent, depending on the quality of representamen and on the ability of the system (ie: the intepreter) to infer information about the referent from the representamen.</w:t>
      </w:r>
      <w:r>
        <w:rPr/>
      </w:r>
      <w:commentRangeEnd w:id="5"/>
      <w:r>
        <w:commentReference w:id="5"/>
      </w:r>
      <w:r>
        <w:rPr/>
        <w:t xml:space="preserve"> From an external point of view, the brain acts as a semiotic process against the environment. </w:t>
      </w:r>
      <w:commentRangeStart w:id="7"/>
      <w:r>
        <w:rPr/>
        <w:t>The environment is the referent, with a concrete and actual state that the brain does not have direct awareness of. Instead, the brain uses the physical senses as a representamen of that environment, and from that representation produces an interpretant.</w:t>
      </w:r>
      <w:r>
        <w:rPr/>
      </w:r>
      <w:commentRangeEnd w:id="7"/>
      <w:r>
        <w:commentReference w:id="7"/>
      </w:r>
      <w:r>
        <w:rPr/>
        <w:t xml:space="preserve"> The VL is interested in a more internal semiotic process within the brain. The interpretant from before must itself be encoded in a representation that is subject to the constraints imposed by the specific characteristics of the underlying biological substrate. </w:t>
      </w:r>
      <w:commentRangeStart w:id="8"/>
      <w:r>
        <w:rPr/>
        <w:t>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commentRangeEnd w:id="8"/>
      <w:r>
        <w:commentReference w:id="8"/>
      </w:r>
      <w:r>
        <w:rPr/>
      </w:r>
    </w:p>
    <w:p>
      <w:pPr>
        <w:pStyle w:val="Normal"/>
        <w:rPr/>
      </w:pPr>
      <w:r>
        <w:rPr/>
        <w:t xml:space="preserve">The semiotic interpretation of cognition is important for a number of reasons. Firstly, it explains that a </w:t>
      </w:r>
      <w:commentRangeStart w:id="9"/>
      <w:r>
        <w:rPr/>
        <w:t>data state</w:t>
      </w:r>
      <w:r>
        <w:rPr/>
      </w:r>
      <w:commentRangeEnd w:id="9"/>
      <w:r>
        <w:commentReference w:id="9"/>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VL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VL within an individual (with the specific representations that are possible within that process) form the individual's </w:t>
      </w:r>
      <w:commentRangeStart w:id="10"/>
      <w:r>
        <w:rPr>
          <w:i/>
          <w:iCs/>
        </w:rPr>
        <w:t>Umwelt</w:t>
      </w:r>
      <w:r>
        <w:rPr>
          <w:i/>
          <w:iCs/>
        </w:rPr>
      </w:r>
      <w:commentRangeEnd w:id="10"/>
      <w:r>
        <w:commentReference w:id="10"/>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Normal"/>
        <w:rPr/>
      </w:pPr>
      <w:r>
        <w:rPr/>
        <w:t xml:space="preserve">The VL and the biosemiotic process that it operates upon examine thought at a high-level, but the VL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 In HOTT, consciousness forms the highest layer of the hierarchy, and has access to the output from the immediate layer below, but not of further lower layers. Thus the information available for conscious thought is a unified high level abstract representation of many sub-processes. The VL does not require a HOTT architecture, but it explains how a HOTT architecture results in the specific nature of human experience in terms of what internal processes are and are not directly observable.</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Normal"/>
        <w:rPr>
          <w:i/>
          <w:i/>
          <w:iCs/>
        </w:rPr>
      </w:pPr>
      <w:r>
        <w:rPr>
          <w:i/>
          <w:iCs/>
        </w:rPr>
        <w:t xml:space="preserve">tbd: discuss how VL offers insight for consciousness in general, including for artificial agents, in a way similar to and supportive of the </w:t>
      </w:r>
      <w:r>
        <w:rPr>
          <w:rFonts w:eastAsia="Calibri" w:cs="" w:cstheme="minorBidi" w:eastAsiaTheme="minorHAnsi"/>
          <w:i/>
          <w:iCs/>
          <w:color w:val="auto"/>
          <w:kern w:val="0"/>
          <w:sz w:val="24"/>
          <w:szCs w:val="22"/>
          <w:lang w:val="en-US" w:eastAsia="en-US" w:bidi="ar-SA"/>
        </w:rPr>
        <w:t>phi theory (needs proper name) - ie: in intro to Consciousness section I suggested that I'll be sticking to just Human consciousness, now I can extend that out to non-human and artificial consciousness.</w:t>
      </w:r>
    </w:p>
    <w:p>
      <w:pPr>
        <w:pStyle w:val="Normal"/>
        <w:rPr>
          <w:i/>
          <w:i/>
          <w:iCs/>
        </w:rPr>
      </w:pPr>
      <w:r>
        <w:rPr>
          <w:rFonts w:eastAsia="Calibri" w:cs="" w:cstheme="minorBidi" w:eastAsiaTheme="minorHAnsi"/>
          <w:i/>
          <w:iCs/>
          <w:color w:val="auto"/>
          <w:kern w:val="0"/>
          <w:sz w:val="24"/>
          <w:szCs w:val="22"/>
          <w:lang w:val="en-US" w:eastAsia="en-US" w:bidi="ar-SA"/>
        </w:rPr>
        <w:t>tbd: analysis of theory - Rosenthal's transitivity principle is considered a fallacy: "and then there is the .. fallacy"</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commentRangeStart w:id="11"/>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commentRangeEnd w:id="11"/>
      <w:r>
        <w:commentReference w:id="11"/>
      </w:r>
      <w:r>
        <w:rPr/>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introspective abilities, such as are enjoyed by humans. The Visceral Loop provides a mechanism to mathematically reason about those introspective abilities, and to classify the capabilities of different architectures.</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I</w:t>
      </w:r>
      <w:r>
        <w:rPr>
          <w:rFonts w:eastAsia="Calibri" w:cs="" w:cstheme="minorBidi" w:eastAsiaTheme="minorHAnsi"/>
          <w:color w:val="auto"/>
          <w:kern w:val="0"/>
          <w:sz w:val="24"/>
          <w:szCs w:val="22"/>
          <w:lang w:val="en-US" w:eastAsia="en-US" w:bidi="ar-SA"/>
        </w:rPr>
        <w:t>ntegrated Information Theory (IIT) (Tononi, 2004; Oizumi et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 xml:space="preserve">al., 2014) provides a mechanism for quantifying the amount of recurrent integration in a system. The </w:t>
      </w:r>
      <w:r>
        <w:rPr>
          <w:rFonts w:eastAsia="Calibri" w:cs="" w:cstheme="minorBidi" w:eastAsiaTheme="minorHAnsi"/>
          <w:color w:val="auto"/>
          <w:kern w:val="0"/>
          <w:sz w:val="24"/>
          <w:szCs w:val="22"/>
          <w:lang w:val="en-US" w:eastAsia="en-US" w:bidi="ar-SA"/>
        </w:rPr>
        <w:t xml:space="preserve">theory behind the </w:t>
      </w:r>
      <w:r>
        <w:rPr>
          <w:rFonts w:eastAsia="Calibri" w:cs="" w:cstheme="minorBidi" w:eastAsiaTheme="minorHAnsi"/>
          <w:color w:val="auto"/>
          <w:kern w:val="0"/>
          <w:sz w:val="24"/>
          <w:szCs w:val="22"/>
          <w:lang w:val="en-US" w:eastAsia="en-US" w:bidi="ar-SA"/>
        </w:rPr>
        <w:t>Visceral Loop explains why that recurrency is important in the first place</w:t>
      </w:r>
      <w:r>
        <w:rPr>
          <w:rFonts w:eastAsia="Calibri" w:cs="" w:cstheme="minorBidi" w:eastAsiaTheme="minorHAnsi"/>
          <w:color w:val="auto"/>
          <w:kern w:val="0"/>
          <w:sz w:val="24"/>
          <w:szCs w:val="22"/>
          <w:lang w:val="en-US" w:eastAsia="en-US" w:bidi="ar-SA"/>
        </w:rPr>
        <w:t>, and the Visceral Loop itself provides a mechanism for qualifying the introspective capabilities in a way that is simultaneously at a coarser grain and simpler to calculate than what IIT targets.</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The problem of solving Artificial General Intelligence (AGI)</w:t>
      </w:r>
      <w:r>
        <w:rPr>
          <w:rFonts w:eastAsia="Calibri" w:cs="" w:cstheme="minorBidi" w:eastAsiaTheme="minorHAnsi"/>
          <w:color w:val="auto"/>
          <w:kern w:val="0"/>
          <w:sz w:val="24"/>
          <w:szCs w:val="22"/>
          <w:lang w:val="en-US" w:eastAsia="en-US" w:bidi="ar-SA"/>
        </w:rPr>
        <w:t xml:space="preserve"> has received renewed interest of late</w:t>
      </w:r>
      <w:r>
        <w:rPr>
          <w:rFonts w:eastAsia="Calibri" w:cs="" w:cstheme="minorBidi" w:eastAsiaTheme="minorHAnsi"/>
          <w:color w:val="auto"/>
          <w:kern w:val="0"/>
          <w:sz w:val="24"/>
          <w:szCs w:val="22"/>
          <w:lang w:val="en-US" w:eastAsia="en-US" w:bidi="ar-SA"/>
        </w:rPr>
        <w:t xml:space="preserve"> (Adams et al., 2012; van Gerven, 2017; Cervantes et al., 2021)</w:t>
      </w:r>
      <w:r>
        <w:rPr>
          <w:rFonts w:eastAsia="Calibri" w:cs="" w:cstheme="minorBidi" w:eastAsiaTheme="minorHAnsi"/>
          <w:color w:val="auto"/>
          <w:kern w:val="0"/>
          <w:sz w:val="24"/>
          <w:szCs w:val="22"/>
          <w:lang w:val="en-US" w:eastAsia="en-US" w:bidi="ar-SA"/>
        </w:rPr>
        <w:t xml:space="preserve">. ...The </w:t>
      </w:r>
      <w:r>
        <w:rPr>
          <w:rFonts w:eastAsia="Calibri" w:cs="" w:cstheme="minorBidi" w:eastAsiaTheme="minorHAnsi"/>
          <w:color w:val="auto"/>
          <w:kern w:val="0"/>
          <w:sz w:val="24"/>
          <w:szCs w:val="22"/>
          <w:lang w:val="en-US" w:eastAsia="en-US" w:bidi="ar-SA"/>
        </w:rPr>
        <w:t>VL provides some insight.....</w:t>
      </w:r>
    </w:p>
    <w:p>
      <w:pPr>
        <w:pStyle w:val="Normal"/>
        <w:rPr/>
      </w:pPr>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consciousness versus a philosophical zombie of the same. The theory presented here offers some insight into the mechanism behind the ability for an individual to examine their own thought, which is assumed to be closely related to the content of the individual's phenomenal experience. Thus, the Visceral Loop is an important aspect of consciousness, and understanding of it may help lead towards artificial consciousness.</w:t>
      </w:r>
    </w:p>
    <w:p>
      <w:pPr>
        <w:pStyle w:val="Normal"/>
        <w:rPr/>
      </w:pPr>
      <w:r>
        <w:rPr>
          <w:i/>
          <w:iCs/>
        </w:rPr>
        <w:t xml:space="preserve">tbd: remove - </w:t>
      </w:r>
      <w:r>
        <w:rPr>
          <w:i/>
          <w:iCs/>
        </w:rPr>
        <w:t>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 xml:space="preserve">tbd: remove - </w:t>
      </w:r>
      <w:r>
        <w:rPr>
          <w:i/>
          <w:iCs/>
        </w:rPr>
        <w:t>The work presented here has implications for understanding consciousness, for the design of AI systems, and perhaps forms one of the necessary building blocks towards artificial general intelligence (AGI).</w:t>
      </w:r>
    </w:p>
    <w:p>
      <w:pPr>
        <w:pStyle w:val="Normal"/>
        <w:rPr>
          <w:i/>
          <w:i/>
          <w:iCs/>
        </w:rPr>
      </w:pPr>
      <w:r>
        <w:rPr>
          <w:i/>
          <w:iCs/>
        </w:rPr>
        <w:t>tbd: Further work would be to phrase the Visceral Loop in the terms of predictive coding (Seth, Suzuki, &amp; Critchley, 2012; Millidge, Seth, Buckley, 2021)</w:t>
      </w:r>
    </w:p>
    <w:p>
      <w:pPr>
        <w:pStyle w:val="Normal"/>
        <w:rPr>
          <w:i/>
          <w:i/>
          <w:iCs/>
        </w:rPr>
      </w:pPr>
      <w:r>
        <w:rPr>
          <w:i/>
          <w:iCs/>
        </w:rPr>
        <w:t>tbd: The Visceral Loop has been shown to offer significant insight into consciousness. More work is possible here. It should be noted that there are aspects of consciousness that the Visceral Loop makes no claim over. In particular, it offers no explanation for the so called "hard problem" of phenomenal consciousness (Chalmers, 1995) - the "what it feels like" aspect of consciousness. However, the author believes that stronger claims about the natures of both access consciousness and phenomenal consciousness can yet be made, based on the framework of the Visceral Loop.</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 </w:t>
      </w: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w:t>
      </w:r>
      <w:r>
        <w:rPr/>
        <w:t>:</w:t>
      </w:r>
      <w:r>
        <w:rPr/>
        <w:t>1, 25-42</w:t>
      </w:r>
      <w:r>
        <w:rPr/>
        <w:t>,</w:t>
      </w:r>
      <w:r>
        <w:rPr/>
        <w:t xml:space="preserve"> </w:t>
      </w:r>
      <w:r>
        <w:rPr>
          <w:rFonts w:eastAsia="Calibri" w:cs="" w:cstheme="minorBidi" w:eastAsiaTheme="minorHAnsi"/>
          <w:color w:val="auto"/>
          <w:kern w:val="0"/>
          <w:sz w:val="24"/>
          <w:szCs w:val="22"/>
          <w:lang w:val="en-US" w:eastAsia="en-US" w:bidi="ar-SA"/>
        </w:rPr>
        <w:t>doi:</w:t>
      </w:r>
      <w:r>
        <w:rPr/>
        <w:t>10.1609/aimag.v33i1.2322</w:t>
      </w:r>
      <w:r>
        <w:rPr/>
        <w:t>.</w:t>
      </w:r>
    </w:p>
    <w:p>
      <w:pPr>
        <w:pStyle w:val="Normal"/>
        <w:spacing w:before="120" w:after="240"/>
        <w:rPr/>
      </w:pPr>
      <w:r>
        <w:rPr/>
        <w:t>Block, N. (1995). On a confusion about a function of consciousness. Behav. Brain Sci., 18:2, 227–247. doi:10.1017/S0140525X00038188.</w:t>
      </w:r>
    </w:p>
    <w:p>
      <w:pPr>
        <w:pStyle w:val="Normal"/>
        <w:rPr/>
      </w:pPr>
      <w:r>
        <w:rPr/>
        <w:t>Cervantes, J.</w:t>
      </w:r>
      <w:r>
        <w:rPr/>
        <w:t xml:space="preserve"> </w:t>
      </w:r>
      <w:r>
        <w:rPr/>
        <w:t>P., Martin, L., Dounce, I.</w:t>
      </w:r>
      <w:r>
        <w:rPr/>
        <w:t xml:space="preserve"> </w:t>
      </w:r>
      <w:r>
        <w:rPr/>
        <w:t xml:space="preserve">A., Avila-Contreras, C., </w:t>
      </w:r>
      <w:r>
        <w:rPr/>
        <w:t>and</w:t>
      </w:r>
      <w:r>
        <w:rPr/>
        <w:t xml:space="preserve"> Corchado, F.</w:t>
      </w:r>
      <w:r>
        <w:rPr/>
        <w:t xml:space="preserve"> </w:t>
      </w:r>
      <w:r>
        <w:rPr/>
        <w:t>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r>
        <w:rPr/>
        <w:t>.</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2"/>
      <w:r>
        <w:rPr/>
        <w:t>Millidge, B., Seth, A., Buckley, C. L. Predictive Coding: a Theoretical and Experimental Review. https://arxiv.org/abs/2107.12979</w:t>
      </w:r>
      <w:commentRangeEnd w:id="12"/>
      <w:r>
        <w:commentReference w:id="12"/>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r>
        <w:rPr/>
        <w:t>.</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 xml:space="preserve">Tononi, G. (2004). An Information Integration Theory of Consciousness. BMC </w:t>
      </w:r>
      <w:r>
        <w:rPr/>
        <w:t>N</w:t>
      </w:r>
      <w:r>
        <w:rPr/>
        <w:t>eurosci</w:t>
      </w:r>
      <w:r>
        <w:rPr/>
        <w:t>.</w:t>
      </w:r>
      <w:r>
        <w:rPr/>
        <w:t>,</w:t>
      </w:r>
      <w:r>
        <w:rPr/>
        <w:t xml:space="preserve"> 5</w:t>
      </w:r>
      <w:r>
        <w:rPr/>
        <w:t>:</w:t>
      </w:r>
      <w:r>
        <w:rPr/>
        <w:t>42</w:t>
      </w:r>
      <w:r>
        <w:rPr/>
        <w:t>, doi:</w:t>
      </w:r>
      <w:r>
        <w:rPr/>
        <w:t>10.1186/1471-2202-5-42.</w:t>
      </w:r>
    </w:p>
    <w:p>
      <w:pPr>
        <w:pStyle w:val="Normal"/>
        <w:spacing w:before="120" w:after="24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3"/>
      <w:headerReference w:type="default" r:id="rId4"/>
      <w:headerReference w:type="first" r:id="rId5"/>
      <w:footerReference w:type="even" r:id="rId6"/>
      <w:footerReference w:type="default" r:id="rId7"/>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30:0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believe this to be a fallacy</w:t>
      </w:r>
    </w:p>
  </w:comment>
  <w:comment w:id="3"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4" w:author="Unknown Author" w:date="2021-12-27T09:29:11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Shortcoming: some claim that P-Cs isn’t a computational process.</w:t>
      </w:r>
    </w:p>
  </w:comment>
  <w:comment w:id="6"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5" w:author="Unknown Author" w:date="2021-12-27T10:34:05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diagram.</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Hand-thumb-up → interpretation as good, as wanting a ride, as a question.</w:t>
      </w:r>
    </w:p>
  </w:comment>
  <w:comment w:id="7" w:author="Unknown Author" w:date="2021-12-27T10:34: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Possible diagram: individual lines and dots → intepreted as a cat</w:t>
      </w:r>
    </w:p>
  </w:comment>
  <w:comment w:id="8" w:author="Unknown Author" w:date="2021-12-27T10:35:0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Possible diagram: </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 interpreted as “hungry” → reinterpreted in order to act on it.</w:t>
      </w:r>
    </w:p>
  </w:comment>
  <w:comment w:id="9"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10" w:author="Unknown Author" w:date="2021-12-26T11:29:1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p>
  </w:comment>
  <w:comment w:id="11" w:author="Unknown Author" w:date="2021-12-30T08:15:03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See Hod Lipson references here (</w:t>
      </w:r>
      <w:hyperlink r:id="rId1">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https://en.wikipedia.org/wiki/Artificial_consciousness</w:t>
        </w:r>
      </w:hyperlink>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“Hod Lipson defines "self-modeling" as a necessary component of self-awareness or consciousness in robots. "Self-modeling" consists of a robot running an internal model or simulation of itself.”</w:t>
      </w:r>
    </w:p>
  </w:comment>
  <w:comment w:id="12"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14" wp14:anchorId="51D4B8BD">
              <wp:simplePos x="0" y="0"/>
              <wp:positionH relativeFrom="margin">
                <wp:align>right</wp:align>
              </wp:positionH>
              <wp:positionV relativeFrom="paragraph">
                <wp:posOffset>635</wp:posOffset>
              </wp:positionV>
              <wp:extent cx="1511300" cy="433705"/>
              <wp:effectExtent l="0" t="0" r="0" b="0"/>
              <wp:wrapNone/>
              <wp:docPr id="6" name="Text Box 1"/>
              <a:graphic xmlns:a="http://schemas.openxmlformats.org/drawingml/2006/main">
                <a:graphicData uri="http://schemas.microsoft.com/office/word/2010/wordprocessingShape">
                  <wps:wsp>
                    <wps:cNvSpPr/>
                    <wps:spPr>
                      <a:xfrm>
                        <a:off x="0" y="0"/>
                        <a:ext cx="151056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14</w:t>
                          </w:r>
                          <w:r>
                            <w:rPr>
                              <w:szCs w:val="40"/>
                            </w:rPr>
                            <w:fldChar w:fldCharType="end"/>
                          </w:r>
                        </w:p>
                      </w:txbxContent>
                    </wps:txbx>
                    <wps:bodyPr>
                      <a:spAutoFit/>
                    </wps:bodyPr>
                  </wps:wsp>
                </a:graphicData>
              </a:graphic>
            </wp:anchor>
          </w:drawing>
        </mc:Choice>
        <mc:Fallback>
          <w:pict>
            <v:rect id="shape_0" ID="Text Box 1" stroked="f" style="position:absolute;margin-left:369.85pt;margin-top:0.05pt;width:118.9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14</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21" wp14:anchorId="31D8D0F9">
              <wp:simplePos x="0" y="0"/>
              <wp:positionH relativeFrom="column">
                <wp:posOffset>-108585</wp:posOffset>
              </wp:positionH>
              <wp:positionV relativeFrom="paragraph">
                <wp:posOffset>-52705</wp:posOffset>
              </wp:positionV>
              <wp:extent cx="3674745" cy="434975"/>
              <wp:effectExtent l="0" t="0" r="4445" b="0"/>
              <wp:wrapNone/>
              <wp:docPr id="8" name="Text Box 2"/>
              <a:graphic xmlns:a="http://schemas.openxmlformats.org/drawingml/2006/main">
                <a:graphicData uri="http://schemas.microsoft.com/office/word/2010/wordprocessingShape">
                  <wps:wsp>
                    <wps:cNvSpPr/>
                    <wps:spPr>
                      <a:xfrm>
                        <a:off x="0" y="0"/>
                        <a:ext cx="367416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15pt;width:289.25pt;height:34.1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7" wp14:anchorId="2C4AF3B6">
              <wp:simplePos x="0" y="0"/>
              <wp:positionH relativeFrom="margin">
                <wp:align>right</wp:align>
              </wp:positionH>
              <wp:positionV relativeFrom="paragraph">
                <wp:posOffset>635</wp:posOffset>
              </wp:positionV>
              <wp:extent cx="1511300" cy="433705"/>
              <wp:effectExtent l="0" t="0" r="0" b="0"/>
              <wp:wrapNone/>
              <wp:docPr id="10" name="Text Box 56"/>
              <a:graphic xmlns:a="http://schemas.openxmlformats.org/drawingml/2006/main">
                <a:graphicData uri="http://schemas.microsoft.com/office/word/2010/wordprocessingShape">
                  <wps:wsp>
                    <wps:cNvSpPr/>
                    <wps:spPr>
                      <a:xfrm>
                        <a:off x="0" y="0"/>
                        <a:ext cx="151056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wps:txbx>
                    <wps:bodyPr>
                      <a:spAutoFit/>
                    </wps:bodyPr>
                  </wps:wsp>
                </a:graphicData>
              </a:graphic>
            </wp:anchor>
          </w:drawing>
        </mc:Choice>
        <mc:Fallback>
          <w:pict>
            <v:rect id="shape_0" ID="Text Box 56" stroked="f" style="position:absolute;margin-left:369.85pt;margin-top:0.05pt;width:118.9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 w:id="5">
    <w:p>
      <w:pPr>
        <w:pStyle w:val="Footnote"/>
        <w:spacing w:before="120" w:after="0"/>
        <w:rPr/>
      </w:pPr>
      <w:r>
        <w:rPr>
          <w:rStyle w:val="FootnoteCharacters"/>
        </w:rPr>
        <w:footnoteRef/>
      </w:r>
      <w:r>
        <w:rPr/>
        <w:t>https://plato.stanford.edu/entries/epiphenomenalism/</w:t>
      </w:r>
    </w:p>
  </w:footnote>
  <w:footnote w:id="6">
    <w:p>
      <w:pPr>
        <w:pStyle w:val="Footnote"/>
        <w:spacing w:before="120" w:after="0"/>
        <w:rPr/>
      </w:pPr>
      <w:r>
        <w:rPr>
          <w:rStyle w:val="FootnoteCharacters"/>
        </w:rPr>
        <w:footnoteRef/>
      </w:r>
      <w:r>
        <w:rPr/>
        <w:t>https://en.wikipedia.org/wiki/Biosemiotics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en.wikipedia.org/wiki/Artificial_consciousnes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90</TotalTime>
  <Application>LibreOffice/6.4.1.2$Windows_X86_64 LibreOffice_project/4d224e95b98b138af42a64d84056446d09082932</Application>
  <Pages>14</Pages>
  <Words>6420</Words>
  <Characters>34671</Characters>
  <CharactersWithSpaces>40906</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2021-12-30T08:15:36Z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