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 xml:space="preserve">Keywords: Access Consciousness, Phenomenal Consciousness, Biosemiotic </w:t>
      </w:r>
      <w:r>
        <w:rPr/>
        <w:t>Process, Visceral Loop, Monitoring and Control, Recurrent Proces</w:t>
      </w:r>
      <w:r>
        <w:rPr/>
        <w:t>s</w:t>
      </w:r>
      <w:r>
        <w:rPr/>
        <w:t>, Non-physical Action</w:t>
      </w:r>
      <w:r>
        <w:rPr/>
        <w:t>, Conscious Content</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0"/>
      <w:r>
        <w:rPr/>
        <w:t>Introduction</w:t>
      </w:r>
      <w:commentRangeEnd w:id="0"/>
      <w:r>
        <w:commentReference w:id="0"/>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1221740" cy="1608455"/>
                <wp:effectExtent l="0" t="0" r="0" b="0"/>
                <wp:wrapTopAndBottom/>
                <wp:docPr id="1" name="Frame6"/>
                <a:graphic xmlns:a="http://schemas.openxmlformats.org/drawingml/2006/main">
                  <a:graphicData uri="http://schemas.microsoft.com/office/word/2010/wordprocessingShape">
                    <wps:wsp>
                      <wps:cNvSpPr/>
                      <wps:spPr>
                        <a:xfrm>
                          <a:off x="0" y="0"/>
                          <a:ext cx="1221120" cy="160776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pt;margin-top:0.05pt;width:96.1pt;height:126.5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4540250" cy="6630035"/>
                <wp:effectExtent l="0" t="0" r="0" b="0"/>
                <wp:wrapTopAndBottom/>
                <wp:docPr id="5" name="Frame1"/>
                <a:graphic xmlns:a="http://schemas.openxmlformats.org/drawingml/2006/main">
                  <a:graphicData uri="http://schemas.microsoft.com/office/word/2010/wordprocessingShape">
                    <wps:wsp>
                      <wps:cNvSpPr/>
                      <wps:spPr>
                        <a:xfrm>
                          <a:off x="0" y="0"/>
                          <a:ext cx="4539600" cy="662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5pt;margin-top:0.05pt;width:357.4pt;height:521.9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r>
        <w:rPr/>
        <w:t xml:space="preserve"> (2015)</w:t>
      </w:r>
      <w:r>
        <w:rPr/>
        <w:t>:</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Firstly, as so little is known of the nature of consciousness within non-human animals or in artificial agents,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 to be" (Nagel, 1974) a conscious organism. In approximate terms, P-Cs is the phenomenal aspect of having a subjective experience of the data content of A-Cs.</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merely to draw a distinction between what is and what is not present within A-Cs or P-Cs.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subsequently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1"/>
      <w:r>
        <w:rPr>
          <w:i/>
          <w:iCs/>
        </w:rPr>
        <w:t>content of conscious experience</w:t>
      </w:r>
      <w:r>
        <w:rPr>
          <w:i/>
          <w:iCs/>
        </w:rPr>
      </w:r>
      <w:commentRangeEnd w:id="1"/>
      <w:r>
        <w:commentReference w:id="1"/>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 The intepretant may or may not accurately reflect the original referent, depending on the quality of representamen and on the ability of the system (ie: the intepreter) to infer information about the referent from the representamen. For example, in </w:t>
      </w:r>
      <w:r>
        <w:rPr/>
        <w:fldChar w:fldCharType="begin"/>
      </w:r>
      <w:r>
        <w:rPr/>
        <w:instrText> REF Ref_Figure2_label_and_number \h </w:instrText>
      </w:r>
      <w:r>
        <w:rPr/>
        <w:fldChar w:fldCharType="separate"/>
      </w:r>
      <w:r>
        <w:rPr/>
        <w:t>Figure 1</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representamen, but it 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6210300" cy="2670810"/>
                <wp:effectExtent l="0" t="0" r="0" b="0"/>
                <wp:wrapTopAndBottom/>
                <wp:docPr id="9" name="Frame5"/>
                <a:graphic xmlns:a="http://schemas.openxmlformats.org/drawingml/2006/main">
                  <a:graphicData uri="http://schemas.microsoft.com/office/word/2010/wordprocessingShape">
                    <wps:wsp>
                      <wps:cNvSpPr/>
                      <wps:spPr>
                        <a:xfrm>
                          <a:off x="0" y="0"/>
                          <a:ext cx="6209640" cy="267012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1"/>
                            <w:r>
                              <w:rPr/>
                              <w:t xml:space="preserve">Figure </w:t>
                            </w:r>
                            <w:r>
                              <w:rPr/>
                              <w:fldChar w:fldCharType="begin"/>
                            </w:r>
                            <w:r>
                              <w:rPr/>
                              <w:instrText> SEQ Figure \* ARABIC </w:instrText>
                            </w:r>
                            <w:r>
                              <w:rPr/>
                              <w:fldChar w:fldCharType="separate"/>
                            </w:r>
                            <w:r>
                              <w:rPr/>
                              <w:t>3</w:t>
                            </w:r>
                            <w:r>
                              <w:rPr/>
                              <w:fldChar w:fldCharType="end"/>
                            </w:r>
                            <w:bookmarkEnd w:id="5"/>
                            <w:bookmarkEnd w:id="6"/>
                            <w:r>
                              <w:rPr/>
                              <w:t>: 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The sign they use, 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val="false"/>
                                <w:iCs w:val="false"/>
                                <w:color w:val="auto"/>
                                <w:kern w:val="0"/>
                                <w:sz w:val="24"/>
                                <w:szCs w:val="24"/>
                                <w:lang w:val="en-US" w:eastAsia="en-US" w:bidi="ar-SA"/>
                              </w:rPr>
                              <w:t xml:space="preserve"> is the icon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1pt;margin-top:0.05pt;width:488.9pt;height:210.2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1"/>
                      <w:r>
                        <w:rPr/>
                        <w:t xml:space="preserve">Figure </w:t>
                      </w:r>
                      <w:r>
                        <w:rPr/>
                        <w:fldChar w:fldCharType="begin"/>
                      </w:r>
                      <w:r>
                        <w:rPr/>
                        <w:instrText> SEQ Figure \* ARABIC </w:instrText>
                      </w:r>
                      <w:r>
                        <w:rPr/>
                        <w:fldChar w:fldCharType="separate"/>
                      </w:r>
                      <w:r>
                        <w:rPr/>
                        <w:t>3</w:t>
                      </w:r>
                      <w:r>
                        <w:rPr/>
                        <w:fldChar w:fldCharType="end"/>
                      </w:r>
                      <w:bookmarkEnd w:id="7"/>
                      <w:bookmarkEnd w:id="8"/>
                      <w:r>
                        <w:rPr/>
                        <w:t>: 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The sign they use, 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val="false"/>
                          <w:iCs w:val="false"/>
                          <w:color w:val="auto"/>
                          <w:kern w:val="0"/>
                          <w:sz w:val="24"/>
                          <w:szCs w:val="24"/>
                          <w:lang w:val="en-US" w:eastAsia="en-US" w:bidi="ar-SA"/>
                        </w:rPr>
                        <w:t xml:space="preserve"> is the icon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illustrated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As illustrated in </w:t>
      </w:r>
      <w:r>
        <w:rPr/>
        <w:fldChar w:fldCharType="begin"/>
      </w:r>
      <w:r>
        <w:rPr/>
        <w:instrText> REF Ref_Figure4_label_and_number \h </w:instrText>
      </w:r>
      <w:r>
        <w:rPr/>
        <w:fldChar w:fldCharType="separate"/>
      </w:r>
      <w:r>
        <w:rPr/>
        <w:t>Figure 5</w:t>
      </w:r>
      <w:r>
        <w:rPr/>
        <w:fldChar w:fldCharType="end"/>
      </w:r>
      <w:r>
        <w:rPr/>
        <w:t>, the interpretant from before must itself be encoded in a representation. And that representation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6210300" cy="2072005"/>
                <wp:effectExtent l="0" t="0" r="0" b="0"/>
                <wp:wrapTopAndBottom/>
                <wp:docPr id="13" name="Frame7"/>
                <a:graphic xmlns:a="http://schemas.openxmlformats.org/drawingml/2006/main">
                  <a:graphicData uri="http://schemas.microsoft.com/office/word/2010/wordprocessingShape">
                    <wps:wsp>
                      <wps:cNvSpPr/>
                      <wps:spPr>
                        <a:xfrm>
                          <a:off x="0" y="0"/>
                          <a:ext cx="6209640" cy="207144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1pt;margin-top:0.05pt;width:488.9pt;height:163.0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210300" cy="1704975"/>
                <wp:effectExtent l="0" t="0" r="0" b="0"/>
                <wp:wrapTopAndBottom/>
                <wp:docPr id="17" name="Frame8"/>
                <a:graphic xmlns:a="http://schemas.openxmlformats.org/drawingml/2006/main">
                  <a:graphicData uri="http://schemas.microsoft.com/office/word/2010/wordprocessingShape">
                    <wps:wsp>
                      <wps:cNvSpPr/>
                      <wps:spPr>
                        <a:xfrm>
                          <a:off x="0" y="0"/>
                          <a:ext cx="6209640" cy="170424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1pt;margin-top:0.05pt;width:488.9pt;height:134.1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Semiotics of internal thought</w:t>
                      </w:r>
                    </w:p>
                  </w:txbxContent>
                </v:textbox>
                <w10:wrap type="topAndBottom"/>
              </v:rect>
            </w:pict>
          </mc:Fallback>
        </mc:AlternateContent>
      </w:r>
    </w:p>
    <w:p>
      <w:pPr>
        <w:pStyle w:val="Normal"/>
        <w:rPr/>
      </w:pPr>
      <w:r>
        <w:rPr/>
        <w:t xml:space="preserve">The semiotic interpretation of cognition is important because it explains that a </w:t>
      </w:r>
      <w:commentRangeStart w:id="2"/>
      <w:r>
        <w:rPr/>
        <w:t>data state</w:t>
      </w:r>
      <w:r>
        <w:rPr/>
      </w:r>
      <w:commentRangeEnd w:id="2"/>
      <w:r>
        <w:commentReference w:id="2"/>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Heading2"/>
        <w:numPr>
          <w:ilvl w:val="1"/>
          <w:numId w:val="2"/>
        </w:numPr>
        <w:rPr/>
      </w:pPr>
      <w:bookmarkStart w:id="13" w:name="__RefHeading___Toc5065_3695547975"/>
      <w:bookmarkEnd w:id="13"/>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w:t>
      </w:r>
      <w:r>
        <w:rPr>
          <w:i w:val="false"/>
          <w:iCs w:val="false"/>
        </w:rPr>
        <w:t>(Rosenthal 1997; Rosenthal 2006)</w:t>
      </w:r>
      <w:r>
        <w:rPr/>
        <w:t>. In HOTT, consciousness forms the highest layer of the hierarchy, and has access to the output from the immediate layer below, but not of further lower layers. Thus the information available for conscious thought is a unified high level abstract representation formed from the output of many sub-processes. The Visceral Loop does not require a HOTT architecture, but it explains how a HOTT architecture results in the specific nature of human experience in terms of their being a distinction between those internal processes which are directly observable, versus those which are not.</w:t>
      </w:r>
    </w:p>
    <w:p>
      <w:pPr>
        <w:pStyle w:val="Normal"/>
        <w:rPr/>
      </w:pPr>
      <w:r>
        <w:rPr/>
        <w:t>The Visceral Loop can also be seen as a monitoring and control device that governs the actions of the rest of the agent's cognitive function. This suggests why a higher-order layer is requisite. The internal processes of the entire brain are too complex to monitor at their native low-level neuronal states. The global monitoring and control function of the brain needs to know only the broad trends in behavior in order to predict whether the existing behavior is suitable for the larger objective. Thus it is more efficient that it operates over a higher-order unified representation that contains only the information that is pertinent for the purpose of self-governing.</w:t>
      </w:r>
    </w:p>
    <w:p>
      <w:pPr>
        <w:pStyle w:val="Normal"/>
        <w:rPr/>
      </w:pPr>
      <w:r>
        <w:rPr/>
        <w:t>Conveniently, this finally explains why we are conscious of certain processes within our own brains and not conscious of others – that our brains create a higher-order representation for the purpose of self-governing, and only that self-governing function has the full semiotic process capable of producing conscious experience, and thus we are only conscious of the data content that is presented to that self-governing process.</w:t>
      </w:r>
    </w:p>
    <w:p>
      <w:pPr>
        <w:pStyle w:val="Heading2"/>
        <w:numPr>
          <w:ilvl w:val="1"/>
          <w:numId w:val="2"/>
        </w:numPr>
        <w:rPr/>
      </w:pPr>
      <w:r>
        <w:rPr/>
        <w:t>A step towards understanding General Intelligence</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Visceral Loop may 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 it needs to incorporate recurrent non-physical actions, as per the arguments presented within this paper. This implies the need for the agent to introspect and monitor its own mental behaviors in order to control them for stability and efficiency. That monitoring and control operates as a semiotic process against the agent's own internal mental representations. Thus an AGI should be expected to exhibit the characteristics that are measured by the Visceral Loop, and one aspect of the level of advancement of the AGI can be measured by whether it can execute Visceral Loop Iterations 2 and 3.</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This suggests a particular AGI architecture whereby a discrete sub-component provides monitoring and control and governs the actions of multiple other sub-components, each with individual specializations, such as is illustrated in </w:t>
      </w:r>
      <w:r>
        <w:rPr>
          <w:rFonts w:eastAsia="Calibri" w:cs=""/>
          <w:color w:val="auto"/>
          <w:kern w:val="0"/>
          <w:sz w:val="24"/>
          <w:szCs w:val="22"/>
          <w:lang w:val="en-US" w:eastAsia="en-US" w:bidi="ar-SA"/>
        </w:rPr>
        <w:fldChar w:fldCharType="begin"/>
      </w:r>
      <w:r>
        <w:rPr>
          <w:sz w:val="24"/>
          <w:kern w:val="0"/>
          <w:szCs w:val="22"/>
          <w:rFonts w:eastAsia="Calibri" w:cs=""/>
          <w:color w:val="auto"/>
          <w:lang w:val="en-US" w:eastAsia="en-US" w:bidi="ar-SA"/>
        </w:rPr>
        <w:instrText> REF Ref_Figure5_label_and_number \h </w:instrText>
      </w:r>
      <w:r>
        <w:rPr>
          <w:sz w:val="24"/>
          <w:kern w:val="0"/>
          <w:szCs w:val="22"/>
          <w:rFonts w:eastAsia="Calibri" w:cs=""/>
          <w:color w:val="auto"/>
          <w:lang w:val="en-US" w:eastAsia="en-US" w:bidi="ar-SA"/>
        </w:rPr>
        <w:fldChar w:fldCharType="separate"/>
      </w:r>
      <w:r>
        <w:rPr>
          <w:sz w:val="24"/>
          <w:kern w:val="0"/>
          <w:szCs w:val="22"/>
          <w:rFonts w:eastAsia="Calibri" w:cs=""/>
          <w:color w:val="auto"/>
          <w:lang w:val="en-US" w:eastAsia="en-US" w:bidi="ar-SA"/>
        </w:rPr>
        <w:t>Figure 6</w:t>
      </w:r>
      <w:r>
        <w:rPr>
          <w:sz w:val="24"/>
          <w:kern w:val="0"/>
          <w:szCs w:val="22"/>
          <w:rFonts w:eastAsia="Calibri" w:cs=""/>
          <w:color w:val="auto"/>
          <w:lang w:val="en-US" w:eastAsia="en-US" w:bidi="ar-SA"/>
        </w:rPr>
        <w:fldChar w:fldCharType="end"/>
      </w:r>
      <w:r>
        <w:rPr>
          <w:rFonts w:eastAsia="Calibri" w:cs="" w:cstheme="minorBidi" w:eastAsiaTheme="minorHAnsi"/>
          <w:color w:val="auto"/>
          <w:kern w:val="0"/>
          <w:sz w:val="24"/>
          <w:szCs w:val="22"/>
          <w:lang w:val="en-US" w:eastAsia="en-US" w:bidi="ar-SA"/>
        </w:rPr>
        <w:t>. Were those sub-components to operate against each other through competitive processes alone, they may be at risk of chaotic behavior and runaway instabilities. Provided with an appropriate learning algorithm and an appropriate objective that measures the agents overall stability and efficiency, an aggregate system that incorporates a global monitoring and control function can efficiently learn to govern itself and to avoid chaotic runaway instabilities. For example, one such learning algorithm and objective is that of Active Inference</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202020"/>
          <w:kern w:val="0"/>
          <w:sz w:val="24"/>
          <w:szCs w:val="22"/>
          <w:lang w:val="en-US" w:eastAsia="en-US" w:bidi="ar-SA"/>
        </w:rPr>
        <w:t>Friston</w:t>
      </w:r>
      <w:r>
        <w:rPr>
          <w:rFonts w:eastAsia="Calibri" w:cs="" w:cstheme="minorBidi" w:eastAsiaTheme="minorHAnsi"/>
          <w:color w:val="202020"/>
          <w:kern w:val="0"/>
          <w:sz w:val="24"/>
          <w:szCs w:val="22"/>
          <w:lang w:val="en-US" w:eastAsia="en-US" w:bidi="ar-SA"/>
        </w:rPr>
        <w:t xml:space="preserve">, </w:t>
      </w:r>
      <w:r>
        <w:rPr>
          <w:rFonts w:eastAsia="Calibri" w:cs="" w:cstheme="minorBidi" w:eastAsiaTheme="minorHAnsi"/>
          <w:color w:val="202020"/>
          <w:kern w:val="0"/>
          <w:sz w:val="24"/>
          <w:szCs w:val="22"/>
          <w:lang w:val="en-US" w:eastAsia="en-US" w:bidi="ar-SA"/>
        </w:rPr>
        <w:t>Daunizeau</w:t>
      </w:r>
      <w:r>
        <w:rPr>
          <w:rFonts w:eastAsia="Calibri" w:cs="" w:cstheme="minorBidi" w:eastAsiaTheme="minorHAnsi"/>
          <w:color w:val="202020"/>
          <w:kern w:val="0"/>
          <w:sz w:val="24"/>
          <w:szCs w:val="22"/>
          <w:lang w:val="en-US" w:eastAsia="en-US" w:bidi="ar-SA"/>
        </w:rPr>
        <w:t xml:space="preserve">, and </w:t>
      </w:r>
      <w:r>
        <w:rPr>
          <w:rFonts w:eastAsia="Calibri" w:cs="" w:cstheme="minorBidi" w:eastAsiaTheme="minorHAnsi"/>
          <w:color w:val="202020"/>
          <w:kern w:val="0"/>
          <w:sz w:val="24"/>
          <w:szCs w:val="22"/>
          <w:lang w:val="en-US" w:eastAsia="en-US" w:bidi="ar-SA"/>
        </w:rPr>
        <w:t>Kiebel</w:t>
      </w:r>
      <w:r>
        <w:rPr>
          <w:rFonts w:eastAsia="Calibri" w:cs="" w:cstheme="minorBidi" w:eastAsiaTheme="minorHAnsi"/>
          <w:color w:val="202020"/>
          <w:kern w:val="0"/>
          <w:sz w:val="24"/>
          <w:szCs w:val="22"/>
          <w:lang w:val="en-US" w:eastAsia="en-US" w:bidi="ar-SA"/>
        </w:rPr>
        <w:t xml:space="preserve">, </w:t>
      </w:r>
      <w:r>
        <w:rPr>
          <w:rFonts w:eastAsia="Calibri" w:cs="" w:cstheme="minorBidi" w:eastAsiaTheme="minorHAnsi"/>
          <w:color w:val="202020"/>
          <w:kern w:val="0"/>
          <w:sz w:val="24"/>
          <w:szCs w:val="22"/>
          <w:lang w:val="en-US" w:eastAsia="en-US" w:bidi="ar-SA"/>
        </w:rPr>
        <w:t>2009</w:t>
      </w:r>
      <w:r>
        <w:rPr>
          <w:rFonts w:eastAsia="Calibri" w:cs="" w:cstheme="minorBidi" w:eastAsiaTheme="minorHAnsi"/>
          <w:color w:val="202020"/>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 xml:space="preserve">Tschantz, Baltieri, </w:t>
      </w:r>
      <w:r>
        <w:rPr>
          <w:rFonts w:eastAsia="Calibri" w:cs="" w:cstheme="minorBidi" w:eastAsiaTheme="minorHAnsi"/>
          <w:color w:val="auto"/>
          <w:kern w:val="0"/>
          <w:sz w:val="24"/>
          <w:szCs w:val="22"/>
          <w:lang w:val="en-US" w:eastAsia="en-US" w:bidi="ar-SA"/>
        </w:rPr>
        <w:t xml:space="preserve">et al, </w:t>
      </w:r>
      <w:r>
        <w:rPr>
          <w:rFonts w:eastAsia="Calibri" w:cs="" w:cstheme="minorBidi" w:eastAsiaTheme="minorHAnsi"/>
          <w:color w:val="auto"/>
          <w:kern w:val="0"/>
          <w:sz w:val="24"/>
          <w:szCs w:val="22"/>
          <w:lang w:val="en-US" w:eastAsia="en-US" w:bidi="ar-SA"/>
        </w:rPr>
        <w:t>2020</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Sajid, Ball, et al, 2021</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mc:AlternateContent>
          <mc:Choice Requires="wps">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3604260" cy="5008245"/>
                <wp:effectExtent l="0" t="0" r="0" b="0"/>
                <wp:wrapTopAndBottom/>
                <wp:docPr id="21" name="Frame9"/>
                <a:graphic xmlns:a="http://schemas.openxmlformats.org/drawingml/2006/main">
                  <a:graphicData uri="http://schemas.microsoft.com/office/word/2010/wordprocessingShape">
                    <wps:wsp>
                      <wps:cNvSpPr/>
                      <wps:spPr>
                        <a:xfrm>
                          <a:off x="0" y="0"/>
                          <a:ext cx="3603600" cy="5007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14" w:name="Ref_Figure5_label_and_number"/>
                            <w:r>
                              <w:rPr/>
                              <w:drawing>
                                <wp:inline distT="0" distB="0" distL="0" distR="0">
                                  <wp:extent cx="3603625" cy="327787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3603625" cy="327787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bookmarkEnd w:id="14"/>
                            <w:r>
                              <w:rPr/>
                              <w:t>: A potential AGI architecture.</w:t>
                            </w:r>
                            <w:r>
                              <w:rPr>
                                <w:i w:val="false"/>
                                <w:iCs w:val="false"/>
                              </w:rPr>
                              <w:t xml:space="preserve"> A Monitoring and Control unit governs the execution of individual specialized modules. 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the monitoring and control unit views the behaviors of the individual modules through a higher-order translation, and applies control either directly or through reverse higher-order translation. A global workspace model is naively assumed for sharing of information between modules.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102.5pt;margin-top:0.05pt;width:283.7pt;height:394.25pt;mso-wrap-style:square;v-text-anchor:top;mso-position-horizontal:center">
                <v:fill o:detectmouseclick="t" type="solid" color2="black"/>
                <v:stroke color="#3465a4" joinstyle="round" endcap="flat"/>
                <v:textbox>
                  <w:txbxContent>
                    <w:p>
                      <w:pPr>
                        <w:pStyle w:val="Figure"/>
                        <w:spacing w:before="120" w:after="120"/>
                        <w:rPr/>
                      </w:pPr>
                      <w:bookmarkStart w:id="15" w:name="Ref_Figure5_label_and_number"/>
                      <w:r>
                        <w:rPr/>
                        <w:drawing>
                          <wp:inline distT="0" distB="0" distL="0" distR="0">
                            <wp:extent cx="3603625" cy="327787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3"/>
                                    <a:stretch>
                                      <a:fillRect/>
                                    </a:stretch>
                                  </pic:blipFill>
                                  <pic:spPr bwMode="auto">
                                    <a:xfrm>
                                      <a:off x="0" y="0"/>
                                      <a:ext cx="3603625" cy="327787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bookmarkEnd w:id="15"/>
                      <w:r>
                        <w:rPr/>
                        <w:t>: A potential AGI architecture.</w:t>
                      </w:r>
                      <w:r>
                        <w:rPr>
                          <w:i w:val="false"/>
                          <w:iCs w:val="false"/>
                        </w:rPr>
                        <w:t xml:space="preserve"> A Monitoring and Control unit governs the execution of individual specialized modules. Based on discussions within Section </w:t>
                      </w:r>
                      <w:r>
                        <w:rPr>
                          <w:i w:val="false"/>
                          <w:iCs w:val="false"/>
                        </w:rPr>
                        <w:fldChar w:fldCharType="begin"/>
                      </w:r>
                      <w:r>
                        <w:rPr>
                          <w:i w:val="false"/>
                          <w:iCs w:val="false"/>
                        </w:rPr>
                        <w:instrText> REF __RefHeading___Toc5065_3695547975 \r \h </w:instrText>
                      </w:r>
                      <w:r>
                        <w:rPr>
                          <w:i w:val="false"/>
                          <w:iCs w:val="false"/>
                        </w:rPr>
                        <w:fldChar w:fldCharType="separate"/>
                      </w:r>
                      <w:r>
                        <w:rPr>
                          <w:i w:val="false"/>
                          <w:iCs w:val="false"/>
                        </w:rPr>
                        <w:t>7.2</w:t>
                      </w:r>
                      <w:r>
                        <w:rPr>
                          <w:i w:val="false"/>
                          <w:iCs w:val="false"/>
                        </w:rPr>
                        <w:fldChar w:fldCharType="end"/>
                      </w:r>
                      <w:r>
                        <w:rPr>
                          <w:i w:val="false"/>
                          <w:iCs w:val="false"/>
                        </w:rPr>
                        <w:t>, the monitoring and control unit views the behaviors of the individual modules through a higher-order translation, and applies control either directly or through reverse higher-order translation. A global workspace model is naively assumed for sharing of information between modules.</w:t>
                      </w:r>
                    </w:p>
                  </w:txbxContent>
                </v:textbox>
                <w10:wrap type="topAndBottom"/>
              </v:rect>
            </w:pict>
          </mc:Fallback>
        </mc:AlternateContent>
      </w:r>
    </w:p>
    <w:p>
      <w:pPr>
        <w:pStyle w:val="Heading2"/>
        <w:numPr>
          <w:ilvl w:val="1"/>
          <w:numId w:val="2"/>
        </w:numPr>
        <w:rPr/>
      </w:pPr>
      <w:r>
        <w:rPr/>
        <w:t>A step towards understanding Consciousness</w:t>
      </w:r>
    </w:p>
    <w:p>
      <w:pPr>
        <w:pStyle w:val="Normal"/>
        <w:rPr/>
      </w:pPr>
      <w:r>
        <w:rPr/>
        <w:t xml:space="preserve">Within 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 but the Visceral Loop provides a mathematical basis for understanding the potential for consciousness in other agents, including artificial ones. 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Integrated Information Theory (IIT) (Tononi, 2004; Oizumi et al., 2014). IIT provides a mechanism for quantifying the amount of recurrent integration in a system, symbolized in its amount of </w:t>
      </w:r>
      <w:r>
        <w:rPr>
          <w:lang w:val="en-US" w:eastAsia="en-US" w:bidi="ar-SA"/>
        </w:rPr>
        <w:t>Φ.</w:t>
      </w:r>
      <w:r>
        <w:rPr>
          <w:rFonts w:eastAsia="Calibri" w:cs="" w:cstheme="minorBidi" w:eastAsiaTheme="minorHAnsi"/>
          <w:color w:val="auto"/>
          <w:kern w:val="0"/>
          <w:sz w:val="24"/>
          <w:szCs w:val="22"/>
          <w:lang w:val="en-US" w:eastAsia="en-US" w:bidi="ar-SA"/>
        </w:rPr>
        <w:t xml:space="preserve"> Importantly, IIT is applicable to both biological and artificial agents. The Visceral Loop is thus compatible with and enhances IIT, in that it gives a higher-level reason for the need for recurrency.</w:t>
      </w:r>
    </w:p>
    <w:p>
      <w:pPr>
        <w:pStyle w:val="Normal"/>
        <w:rPr/>
      </w:pPr>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 Visceral Loop offers significant insight into consciousness, 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Theory 1, presented above, is weakened somewhat by the fact that it avoids clarifying whether it applies to A-Cs, P-Cs, or both. Unfortunately such an analysis is hampered due to presently irreconcilable differences in opinion about the relative natures and definitions of A-Cs and P-Cs, and about whether 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 For example, some authors make the claim that P-Cs can exist without A-Cs (Block, 1995; Armstrong, 1995). This would imply some kind of representational content within P-Cs that is independent of A-Cs and thus cannot be subsequently thought about (ie: violating Claim 1). There is also research suggesting that some A-Cs information can influence our subsequent thought without us having P-Cs 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In both cases there remains heated debate with no obvious end in sight. The best we can say is that A-Cs and P-Cs largely correlate, although there may be exceptions. The author believes that stronger claims can yet be made about the natures of both A-Cs and P-Cs in terms of the Visceral Loop, but that shall remain the topic of a separate investigation.</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The theories presented in this paper make no claim over the so called "hard problem of consciousness" – the question of why we have phenomenal experience at all (Chalmers, 1995). That remains an open question. The definition of the Visceral Loop itself is compatible with many of the existing arguments that attempt to address the hard problem, although Theory 1 is challenged by some such arguments.</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One area in which the Visceral Loop does not suffer from a common limitation is that it avoids any risk of a recursive definition of conscious thought. Based on the Visceral Loop, a tentative definition of consciousness might be that:</w:t>
      </w:r>
    </w:p>
    <w:p>
      <w:pPr>
        <w:pStyle w:val="Normal"/>
        <w:ind w:left="36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We are conscious of a perception or thought if that perception or thought is in principle capable of being subsequently thought about via Visceral Loop Iterations 2 or 3, and we have subjective experience of it at the moment that an Iteration 2 or 3 result is produced.</w:t>
      </w:r>
    </w:p>
    <w:p>
      <w:pPr>
        <w:pStyle w:val="Normal"/>
        <w:ind w:left="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An important point here is that the perception or thought does not have to be immediately processed by Iteration 2 or 3; it can pass via memory and be processed by Iteration 2 or 3 at a later moment. In fact, anything that is accessible from memory and which is capable of being processed through Iteration 2 or 3 (subject to the availability of the necessary data pathways) can be subjectively experienced.</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introspective abilities, such as that enjoyed by humans. The Visceral Loop provides a mechanism to mathematically reason about those introspective abilities, and to classify the capabilities of different architectures. Where Integrated Information Theory (IIT) provides a mechanism for quantifying the amount of recurrent integration in a system, the theory behind the Visceral Loop explains why that recurrency is important in the first place. The Visceral Loop provides a mechanism for qualifying the introspective capabilities in a way that is simultaneously at a coarser grain and simpler to calculate than what IIT targets.</w:t>
      </w:r>
    </w:p>
    <w:p>
      <w:pPr>
        <w:pStyle w:val="Normal"/>
        <w:rPr>
          <w:rFonts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Visceral Loop provides insight into consciousness in general. It shows that the content of consciousness is defined by a biosemiotic process that operates against a higher-order summary of the internal processes of the rest of the brain, and that it is necessary for stable functioning of a complex cognitive system.</w:t>
      </w:r>
      <w:r>
        <w:rPr>
          <w:rFonts w:eastAsia="Calibri" w:cs="" w:cstheme="minorBidi" w:eastAsiaTheme="minorHAnsi"/>
          <w:color w:val="auto"/>
          <w:kern w:val="0"/>
          <w:sz w:val="24"/>
          <w:szCs w:val="22"/>
          <w:lang w:val="en-US" w:eastAsia="en-US" w:bidi="ar-SA"/>
        </w:rPr>
        <w:t xml:space="preserve"> It also suggests a pathway towards </w:t>
      </w:r>
      <w:r>
        <w:rPr>
          <w:rFonts w:eastAsia="Calibri" w:cs="" w:cstheme="minorBidi" w:eastAsiaTheme="minorHAnsi"/>
          <w:color w:val="auto"/>
          <w:kern w:val="0"/>
          <w:sz w:val="24"/>
          <w:szCs w:val="22"/>
          <w:lang w:val="en-US" w:eastAsia="en-US" w:bidi="ar-SA"/>
        </w:rPr>
        <w:t xml:space="preserve">building an Artificial General Intelligence. It suggests the introduction of a self-monitoring </w:t>
      </w:r>
      <w:r>
        <w:rPr>
          <w:rFonts w:eastAsia="Calibri" w:cs="" w:cstheme="minorBidi" w:eastAsiaTheme="minorHAnsi"/>
          <w:color w:val="auto"/>
          <w:kern w:val="0"/>
          <w:sz w:val="24"/>
          <w:szCs w:val="22"/>
          <w:lang w:val="en-US" w:eastAsia="en-US" w:bidi="ar-SA"/>
        </w:rPr>
        <w:t xml:space="preserve">and control </w:t>
      </w:r>
      <w:r>
        <w:rPr>
          <w:rFonts w:eastAsia="Calibri" w:cs="" w:cstheme="minorBidi" w:eastAsiaTheme="minorHAnsi"/>
          <w:color w:val="auto"/>
          <w:kern w:val="0"/>
          <w:sz w:val="24"/>
          <w:szCs w:val="22"/>
          <w:lang w:val="en-US" w:eastAsia="en-US" w:bidi="ar-SA"/>
        </w:rPr>
        <w:t>process that governs the execution of multiple specialized modules which.</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rPr>
          <w:i w:val="false"/>
          <w:i w:val="false"/>
          <w:iCs w:val="false"/>
        </w:rPr>
      </w:pPr>
      <w:r>
        <w:rPr/>
        <w:t>Armstrong, D. M. (1995). Perception-consciousness and action-consciousness? Behav. Brain Sci., 18:2, 247-248, doi:10.1017/S0140525X0003819X.</w:t>
      </w:r>
    </w:p>
    <w:p>
      <w:pPr>
        <w:pStyle w:val="Normal"/>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rPr/>
      </w:pPr>
      <w:r>
        <w:rPr/>
        <w:t>Colagrosso, M. D., and Mozer, M. C. (2004). Theories Of Access Consciousness. NeurNIPS 2004.</w:t>
      </w:r>
    </w:p>
    <w:p>
      <w:pPr>
        <w:pStyle w:val="Normal"/>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rPr/>
      </w:pPr>
      <w:r>
        <w:rPr>
          <w:color w:val="202020"/>
        </w:rPr>
        <w:t>Friston</w:t>
      </w:r>
      <w:r>
        <w:rPr>
          <w:color w:val="202020"/>
        </w:rPr>
        <w:t xml:space="preserve">, </w:t>
      </w:r>
      <w:r>
        <w:rPr>
          <w:color w:val="202020"/>
        </w:rPr>
        <w:t>K</w:t>
      </w:r>
      <w:r>
        <w:rPr>
          <w:color w:val="202020"/>
        </w:rPr>
        <w:t xml:space="preserve">. </w:t>
      </w:r>
      <w:r>
        <w:rPr>
          <w:color w:val="202020"/>
        </w:rPr>
        <w:t>J</w:t>
      </w:r>
      <w:r>
        <w:rPr>
          <w:color w:val="202020"/>
        </w:rPr>
        <w:t>.</w:t>
      </w:r>
      <w:r>
        <w:rPr>
          <w:color w:val="202020"/>
        </w:rPr>
        <w:t>, Daunizeau</w:t>
      </w:r>
      <w:r>
        <w:rPr>
          <w:color w:val="202020"/>
        </w:rPr>
        <w:t xml:space="preserve">, </w:t>
      </w:r>
      <w:r>
        <w:rPr>
          <w:color w:val="202020"/>
        </w:rPr>
        <w:t>J</w:t>
      </w:r>
      <w:r>
        <w:rPr>
          <w:color w:val="202020"/>
        </w:rPr>
        <w:t>.</w:t>
      </w:r>
      <w:r>
        <w:rPr>
          <w:color w:val="202020"/>
        </w:rPr>
        <w:t>, Kiebel</w:t>
      </w:r>
      <w:r>
        <w:rPr>
          <w:color w:val="202020"/>
        </w:rPr>
        <w:t xml:space="preserve">, </w:t>
      </w:r>
      <w:r>
        <w:rPr>
          <w:color w:val="202020"/>
        </w:rPr>
        <w:t>S</w:t>
      </w:r>
      <w:r>
        <w:rPr>
          <w:color w:val="202020"/>
        </w:rPr>
        <w:t xml:space="preserve">. </w:t>
      </w:r>
      <w:r>
        <w:rPr>
          <w:color w:val="202020"/>
        </w:rPr>
        <w:t>J</w:t>
      </w:r>
      <w:r>
        <w:rPr>
          <w:color w:val="202020"/>
        </w:rPr>
        <w:t>.</w:t>
      </w:r>
      <w:r>
        <w:rPr>
          <w:color w:val="202020"/>
        </w:rPr>
        <w:t xml:space="preserve"> (2009). Reinforcement Learning or Active Inference? PLOS ONE</w:t>
      </w:r>
      <w:r>
        <w:rPr>
          <w:color w:val="202020"/>
        </w:rPr>
        <w:t>,</w:t>
      </w:r>
      <w:r>
        <w:rPr>
          <w:color w:val="202020"/>
        </w:rPr>
        <w:t xml:space="preserve"> 4</w:t>
      </w:r>
      <w:r>
        <w:rPr>
          <w:color w:val="202020"/>
        </w:rPr>
        <w:t>:</w:t>
      </w:r>
      <w:r>
        <w:rPr>
          <w:color w:val="202020"/>
        </w:rPr>
        <w:t>7</w:t>
      </w:r>
      <w:r>
        <w:rPr>
          <w:color w:val="202020"/>
        </w:rPr>
        <w:t>,</w:t>
      </w:r>
      <w:r>
        <w:rPr>
          <w:color w:val="202020"/>
        </w:rPr>
        <w:t xml:space="preserve"> </w:t>
      </w:r>
      <w:r>
        <w:rPr>
          <w:color w:val="202020"/>
        </w:rPr>
        <w:t>doi:10.1371/journal.pone.0006421.</w:t>
      </w:r>
    </w:p>
    <w:p>
      <w:pPr>
        <w:pStyle w:val="Normal"/>
        <w:rPr/>
      </w:pPr>
      <w:r>
        <w:rPr/>
        <w:t>Goodfellow, I., Bengio, Y., and Courville, A. (2016). Deep learning. MIT Press.</w:t>
      </w:r>
    </w:p>
    <w:p>
      <w:pPr>
        <w:pStyle w:val="Normal"/>
        <w:rPr/>
      </w:pPr>
      <w:r>
        <w:rPr/>
        <w:t>Graziano, M. S. A., and Kastner, S. (2011). Human consciousness and its relationship to social neuroscience: a novel hypothesis. Cogn. Neurosci. 2, 98–113. doi:10.1080/17588928.2011.565121</w:t>
      </w:r>
    </w:p>
    <w:p>
      <w:pPr>
        <w:pStyle w:val="Normal"/>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rPr/>
      </w:pPr>
      <w:r>
        <w:rPr/>
        <w:t>Kubilius, J., Schrimpf, M., Kar, K., Rajalingham, R., Hong, H., Majaj, N., Issa, E., et al. (2019). Brain-like object recognition with high-performing shallow recurrent anns. NeurIPS 2019, 12805-12816.</w:t>
      </w:r>
    </w:p>
    <w:p>
      <w:pPr>
        <w:pStyle w:val="Normal"/>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rPr/>
      </w:pPr>
      <w:commentRangeStart w:id="3"/>
      <w:r>
        <w:rPr/>
        <w:t>Millidge, B., Seth, A., Buckley, C. L. Predictive Coding: a Theoretical and Experimental Review. https://arxiv.org/abs/2107.12979</w:t>
      </w:r>
      <w:commentRangeEnd w:id="3"/>
      <w:r>
        <w:commentReference w:id="3"/>
      </w:r>
      <w:r>
        <w:rPr/>
      </w:r>
    </w:p>
    <w:p>
      <w:pPr>
        <w:pStyle w:val="Normal"/>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rPr/>
      </w:pPr>
      <w:r>
        <w:rPr/>
        <w:t>Oizumi, M., Albantakis, L., and Tononi, G. (2014). From the phenomenology to the mechanisms of consciousness: integrated information theory 3.0. PLoS Comput. Biol. 10:e1003588. doi:10.1371/journal.pcbi.1003588.</w:t>
      </w:r>
    </w:p>
    <w:p>
      <w:pPr>
        <w:pStyle w:val="Normal"/>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rPr/>
      </w:pPr>
      <w:r>
        <w:rPr/>
        <w:t>Sajid</w:t>
      </w:r>
      <w:r>
        <w:rPr/>
        <w:t>, N</w:t>
      </w:r>
      <w:r>
        <w:rPr/>
        <w:t>.</w:t>
      </w:r>
      <w:r>
        <w:rPr/>
        <w:t>, Ball</w:t>
      </w:r>
      <w:r>
        <w:rPr/>
        <w:t>, P. J.</w:t>
      </w:r>
      <w:r>
        <w:rPr/>
        <w:t>,</w:t>
      </w:r>
      <w:r>
        <w:rPr/>
        <w:t xml:space="preserve"> </w:t>
      </w:r>
      <w:r>
        <w:rPr/>
        <w:t>Parr</w:t>
      </w:r>
      <w:r>
        <w:rPr/>
        <w:t>, T.</w:t>
      </w:r>
      <w:r>
        <w:rPr/>
        <w:t>, Friston</w:t>
      </w:r>
      <w:r>
        <w:rPr/>
        <w:t>, K. J.</w:t>
      </w:r>
      <w:r>
        <w:rPr/>
        <w:t xml:space="preserve"> (2021). Active Inference: Demystified and Compared. Neural</w:t>
      </w:r>
      <w:r>
        <w:rPr/>
        <w:t>.</w:t>
      </w:r>
      <w:r>
        <w:rPr/>
        <w:t xml:space="preserve"> Comput</w:t>
      </w:r>
      <w:r>
        <w:rPr/>
        <w:t>.,</w:t>
      </w:r>
      <w:r>
        <w:rPr/>
        <w:t xml:space="preserve"> 33</w:t>
      </w:r>
      <w:r>
        <w:rPr/>
        <w:t>:</w:t>
      </w:r>
      <w:r>
        <w:rPr/>
        <w:t>3</w:t>
      </w:r>
      <w:r>
        <w:rPr/>
        <w:t>,</w:t>
      </w:r>
      <w:r>
        <w:rPr/>
        <w:t xml:space="preserve"> 674–712</w:t>
      </w:r>
      <w:r>
        <w:rPr/>
        <w:t>,</w:t>
      </w:r>
      <w:r>
        <w:rPr/>
        <w:t xml:space="preserve"> doi:10.1162/neco_a_01357</w:t>
      </w:r>
      <w:r>
        <w:rPr/>
        <w:t>.</w:t>
      </w:r>
    </w:p>
    <w:p>
      <w:pPr>
        <w:pStyle w:val="Normal"/>
        <w:rPr/>
      </w:pPr>
      <w:r>
        <w:rPr/>
        <w:t>Seth, A. K., Suzuki, K., and Critchley, H. D. (2012). An interoceptive predictive coding model of conscious presence. Front. Psychol., 2:395. doi:10.3389/fpsyg.2011.00395.</w:t>
      </w:r>
    </w:p>
    <w:p>
      <w:pPr>
        <w:pStyle w:val="Normal"/>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rPr/>
      </w:pPr>
      <w:r>
        <w:rPr/>
        <w:t xml:space="preserve">Tschantz, A., Baltieri, M., Seth, A., </w:t>
      </w:r>
      <w:r>
        <w:rPr/>
        <w:t>and</w:t>
      </w:r>
      <w:r>
        <w:rPr/>
        <w:t xml:space="preserve"> Buckley, C. (2020). Scaling Active Inference. IJCNN, 1-8</w:t>
      </w:r>
      <w:r>
        <w:rPr/>
        <w:t>, doi: 10.1109/IJCNN48605.2020.9207382.</w:t>
      </w:r>
    </w:p>
    <w:p>
      <w:pPr>
        <w:pStyle w:val="Normal"/>
        <w:rPr/>
      </w:pPr>
      <w:r>
        <w:rPr/>
        <w:t>Tononi, G. (2004). An Information Integration Theory of Consciousness. BMC Neurosci., 5:42, doi:10.1186/1471-2202-5-42.</w:t>
      </w:r>
    </w:p>
    <w:p>
      <w:pPr>
        <w:pStyle w:val="Normal"/>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rPr/>
      </w:pPr>
      <w:r>
        <w:rPr/>
        <w:t>Webb, T. W., and Graziano, M. S. A. (2015). The attention schema theory: a mechanistic account of subjective awareness. Front. Psychol. 6:500. doi:10.3389/fpsyg.2015.00500.</w:t>
      </w:r>
    </w:p>
    <w:p>
      <w:pPr>
        <w:pStyle w:val="Normal"/>
        <w:widowControl/>
        <w:suppressAutoHyphens w:val="true"/>
        <w:bidi w:val="0"/>
        <w:spacing w:lineRule="auto" w:line="240" w:before="120" w:after="240"/>
        <w:jc w:val="left"/>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sectPr>
      <w:headerReference w:type="even" r:id="rId14"/>
      <w:headerReference w:type="default" r:id="rId15"/>
      <w:headerReference w:type="first" r:id="rId16"/>
      <w:footerReference w:type="even" r:id="rId17"/>
      <w:footerReference w:type="default" r:id="rId18"/>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1"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2"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3"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4" wp14:anchorId="51D4B8BD">
              <wp:simplePos x="0" y="0"/>
              <wp:positionH relativeFrom="margin">
                <wp:align>right</wp:align>
              </wp:positionH>
              <wp:positionV relativeFrom="paragraph">
                <wp:posOffset>635</wp:posOffset>
              </wp:positionV>
              <wp:extent cx="1513840" cy="342265"/>
              <wp:effectExtent l="0" t="0" r="0" b="0"/>
              <wp:wrapNone/>
              <wp:docPr id="26" name="Text Box 1"/>
              <a:graphic xmlns:a="http://schemas.openxmlformats.org/drawingml/2006/main">
                <a:graphicData uri="http://schemas.microsoft.com/office/word/2010/wordprocessingShape">
                  <wps:wsp>
                    <wps:cNvSpPr/>
                    <wps:spPr>
                      <a:xfrm>
                        <a:off x="0" y="0"/>
                        <a:ext cx="15130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65pt;margin-top:0.05pt;width:119.1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52" wp14:anchorId="31D8D0F9">
              <wp:simplePos x="0" y="0"/>
              <wp:positionH relativeFrom="column">
                <wp:posOffset>-108585</wp:posOffset>
              </wp:positionH>
              <wp:positionV relativeFrom="paragraph">
                <wp:posOffset>-48895</wp:posOffset>
              </wp:positionV>
              <wp:extent cx="3677285" cy="342265"/>
              <wp:effectExtent l="0" t="0" r="4445" b="0"/>
              <wp:wrapNone/>
              <wp:docPr id="28" name="Text Box 2"/>
              <a:graphic xmlns:a="http://schemas.openxmlformats.org/drawingml/2006/main">
                <a:graphicData uri="http://schemas.microsoft.com/office/word/2010/wordprocessingShape">
                  <wps:wsp>
                    <wps:cNvSpPr/>
                    <wps:spPr>
                      <a:xfrm>
                        <a:off x="0" y="0"/>
                        <a:ext cx="367668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5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840" cy="342265"/>
              <wp:effectExtent l="0" t="0" r="0" b="0"/>
              <wp:wrapNone/>
              <wp:docPr id="30" name="Text Box 56"/>
              <a:graphic xmlns:a="http://schemas.openxmlformats.org/drawingml/2006/main">
                <a:graphicData uri="http://schemas.microsoft.com/office/word/2010/wordprocessingShape">
                  <wps:wsp>
                    <wps:cNvSpPr/>
                    <wps:spPr>
                      <a:xfrm>
                        <a:off x="0" y="0"/>
                        <a:ext cx="15130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65pt;margin-top:0.05pt;width:119.1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1031</TotalTime>
  <Application>LibreOffice/7.2.4.1$Windows_X86_64 LibreOffice_project/27d75539669ac387bb498e35313b970b7fe9c4f9</Application>
  <AppVersion>15.0000</AppVersion>
  <Pages>18</Pages>
  <Words>7688</Words>
  <Characters>41591</Characters>
  <CharactersWithSpaces>49073</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2022-01-08T08:42:31Z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