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 xml:space="preserve">A </w:t>
      </w:r>
      <w:r>
        <w:rPr/>
        <w:t>Characterization</w:t>
      </w:r>
      <w:r>
        <w:rPr/>
        <w:t xml:space="preserve"> of </w:t>
      </w:r>
      <w:r>
        <w:rPr/>
        <w:t>P</w:t>
      </w:r>
      <w:r>
        <w:rPr/>
        <w:t xml:space="preserve">rocessing </w:t>
      </w:r>
      <w:r>
        <w:rPr/>
        <w:t>L</w:t>
      </w:r>
      <w:r>
        <w:rPr/>
        <w:t xml:space="preserve">oops in AI and </w:t>
      </w:r>
      <w:r>
        <w:rPr/>
        <w:t>B</w:t>
      </w:r>
      <w:r>
        <w:rPr/>
        <w:t xml:space="preserve">iological </w:t>
      </w:r>
      <w:r>
        <w:rPr/>
        <w:t>S</w:t>
      </w:r>
      <w:r>
        <w:rPr/>
        <w:t xml:space="preserve">ystems and </w:t>
      </w:r>
      <w:r>
        <w:rPr/>
        <w:t>i</w:t>
      </w:r>
      <w:r>
        <w:rPr/>
        <w:t xml:space="preserve">ts </w:t>
      </w:r>
      <w:r>
        <w:rPr/>
        <w:t>I</w:t>
      </w:r>
      <w:r>
        <w:rPr/>
        <w:t xml:space="preserve">mplications for </w:t>
      </w:r>
      <w:r>
        <w:rPr/>
        <w:t>U</w:t>
      </w:r>
      <w:r>
        <w:rPr/>
        <w:t>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r>
        <w:rPr/>
        <w:t>Keywords: keyword</w:t>
      </w:r>
      <w:r>
        <w:rPr>
          <w:vertAlign w:val="subscript"/>
        </w:rPr>
        <w:t>1</w:t>
      </w:r>
      <w:r>
        <w:rPr/>
        <w:t>, keyword</w:t>
      </w:r>
      <w:r>
        <w:rPr>
          <w:vertAlign w:val="subscript"/>
        </w:rPr>
        <w:t>2</w:t>
      </w:r>
      <w:r>
        <w:rPr/>
        <w:t>, keyword</w:t>
      </w:r>
      <w:r>
        <w:rPr>
          <w:vertAlign w:val="subscript"/>
        </w:rPr>
        <w:t>3</w:t>
      </w:r>
      <w:r>
        <w:rPr/>
        <w:t>, keyword</w:t>
      </w:r>
      <w:r>
        <w:rPr>
          <w:vertAlign w:val="subscript"/>
        </w:rPr>
        <w:t>4</w:t>
      </w:r>
      <w:r>
        <w:rPr/>
        <w:t>, keyword</w:t>
      </w:r>
      <w:r>
        <w:rPr>
          <w:vertAlign w:val="subscript"/>
        </w:rPr>
        <w:t>5</w:t>
      </w:r>
      <w:r>
        <w:rPr/>
        <w:t>. (Min.5-Max. 8)</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w:t>
      </w:r>
      <w:r>
        <w:rPr>
          <w:szCs w:val="24"/>
        </w:rPr>
        <w:t>characterizing</w:t>
      </w:r>
      <w:r>
        <w:rPr>
          <w:szCs w:val="24"/>
        </w:rPr>
        <w:t xml:space="preserve"> three distinct kinds of processing within such a system in terms of how the system uses that model. It is shown how this can be used to </w:t>
      </w:r>
      <w:r>
        <w:rPr>
          <w:szCs w:val="24"/>
        </w:rPr>
        <w:t>characterize</w:t>
      </w:r>
      <w:r>
        <w:rPr>
          <w:szCs w:val="24"/>
        </w:rPr>
        <w:t xml:space="preserve"> human thought, including about thought itself, and to explain the semiotic process when an individual concludes that they are conscious. A proof is given relating an upper bound on data available within access consciousness to the Visceral Loop </w:t>
      </w:r>
      <w:r>
        <w:rPr>
          <w:szCs w:val="24"/>
        </w:rPr>
        <w:t>characterizations</w:t>
      </w:r>
      <w:r>
        <w:rPr>
          <w:szCs w:val="24"/>
        </w:rPr>
        <w:t xml:space="preserve"> of thought.</w:t>
      </w:r>
    </w:p>
    <w:p>
      <w:pPr>
        <w:pStyle w:val="Heading1"/>
        <w:numPr>
          <w:ilvl w:val="0"/>
          <w:numId w:val="2"/>
        </w:numPr>
        <w:rPr/>
      </w:pPr>
      <w:r>
        <w:rPr/>
        <w:t>Introduction</w:t>
      </w:r>
    </w:p>
    <w:p>
      <w:pPr>
        <w:pStyle w:val="Normal"/>
        <w:rPr>
          <w:szCs w:val="24"/>
        </w:rPr>
      </w:pPr>
      <w:r>
        <w:rPr>
          <w:i/>
          <w:iCs/>
          <w:szCs w:val="24"/>
        </w:rPr>
        <w:t>tbd: should this be rephrased in terms of recurrency?</w:t>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&amp;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w:t>
      </w:r>
      <w:r>
        <w:rPr>
          <w:szCs w:val="24"/>
        </w:rPr>
        <w:t>.</w:t>
      </w:r>
      <w:r>
        <w:rPr>
          <w:szCs w:val="24"/>
        </w:rPr>
        <w:t xml:space="preserve"> (2019) and Wen et al</w:t>
      </w:r>
      <w:r>
        <w:rPr>
          <w:szCs w:val="24"/>
        </w:rPr>
        <w:t>.</w:t>
      </w:r>
      <w:r>
        <w:rPr>
          <w:szCs w:val="24"/>
        </w:rPr>
        <w:t xml:space="preserve">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w:t>
      </w:r>
      <w:r>
        <w:rPr>
          <w:szCs w:val="24"/>
        </w:rPr>
        <w:t>characterizing</w:t>
      </w:r>
      <w:r>
        <w:rPr>
          <w:szCs w:val="24"/>
        </w:rPr>
        <w:t xml:space="preserve">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w:t>
      </w:r>
      <w:r>
        <w:rPr>
          <w:szCs w:val="24"/>
        </w:rPr>
        <w:t>hypothesized</w:t>
      </w:r>
      <w:r>
        <w:rPr>
          <w:szCs w:val="24"/>
        </w:rPr>
        <w:t xml:space="preserve">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A</w:t>
      </w:r>
      <w:r>
        <w:rPr>
          <w:vertAlign w:val="subscript"/>
        </w:rPr>
        <w:t>env</w:t>
      </w:r>
      <w:r>
        <w:rPr/>
        <w:t xml:space="preserve">. This can be </w:t>
      </w:r>
      <w:r>
        <w:rPr/>
        <w:t>summarized</w:t>
      </w:r>
      <w:r>
        <w:rPr/>
        <w:t xml:space="preserve"> as the following equation:</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w:p>
    <w:p>
      <w:pPr>
        <w:pStyle w:val="Normal"/>
        <w:rPr/>
      </w:pPr>
      <w:r>
        <w:rPr/>
        <w:t xml:space="preserve">According to the </w:t>
      </w:r>
      <w:r>
        <w:rPr>
          <w:i/>
          <w:iCs/>
        </w:rPr>
        <w:t>good regulator theorem</w:t>
      </w:r>
      <w:r>
        <w:rPr/>
        <w:t xml:space="preserve">, if the agent is to regulate the environment state it must be a "model of the system" (Conant &amp; Ashby, 1970). Furthermore, we can say that the efficiency of the agent to regulate its environment depends on its accuracy in </w:t>
      </w:r>
      <w:r>
        <w:rPr/>
        <w:t>modeling</w:t>
      </w:r>
      <w:r>
        <w:rPr/>
        <w:t xml:space="preserve">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xml:space="preserve">, </w:t>
      </w:r>
      <w:r>
        <w:rPr/>
        <w:t>summarized</w:t>
      </w:r>
      <w:r>
        <w:rPr/>
        <w:t xml:space="preserve">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xml:space="preserve">, </w:t>
      </w:r>
      <w:r>
        <w:rPr/>
        <w:t>summarized</w:t>
      </w:r>
      <w:r>
        <w:rPr/>
        <w:t xml:space="preserve">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i/>
          <w:iCs/>
        </w:rPr>
        <w:t>S + D(t) + A = O</w:t>
      </w:r>
      <w:r>
        <w:rPr/>
        <w:t xml:space="preserve">. The production of the optimal action </w:t>
      </w:r>
      <w:r>
        <w:rPr>
          <w:i/>
          <w:iCs/>
        </w:rPr>
        <w:t>A</w:t>
      </w:r>
      <w:r>
        <w:rPr/>
        <w:t xml:space="preserve"> for a given situation can be computed by a function, </w:t>
      </w:r>
      <w:r>
        <w:rPr>
          <w:i/>
          <w:iCs/>
        </w:rPr>
        <w:t>f</w:t>
      </w:r>
      <w:r>
        <w:rPr/>
        <w:t xml:space="preserve">, such that </w:t>
      </w:r>
      <w:r>
        <w:rPr>
          <w:i/>
          <w:iCs/>
        </w:rPr>
        <w:t>A = f(S,O,t) = O - S - D(t)</w:t>
      </w:r>
      <w:r>
        <w:rPr/>
        <w:t>.</w:t>
      </w:r>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w:p>
    <w:p>
      <w:pPr>
        <w:pStyle w:val="Normal"/>
        <w:rPr/>
      </w:pPr>
      <w:r>
        <w:rPr/>
        <w:t>Alternatively, consider the following diagram, which shows an abstract syntax tree</w:t>
      </w:r>
      <w:r>
        <w:rPr>
          <w:rStyle w:val="FootnoteAnchor"/>
        </w:rPr>
        <w:footnoteReference w:id="3"/>
      </w:r>
      <w:r>
        <w:rPr/>
        <w:t xml:space="preserve"> (AST) of the function above, of the sort used in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w:t>
      </w:r>
      <w:r>
        <w:rPr/>
        <w:t>modeled</w:t>
      </w:r>
      <w:r>
        <w:rPr/>
        <w:t xml:space="preserve"> or to how the AST models that system.</w:t>
      </w:r>
    </w:p>
    <w:p>
      <w:pPr>
        <w:pStyle w:val="Normal"/>
        <w:rPr/>
      </w:pPr>
      <w:r>
        <w:rPr/>
      </w:r>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49775" cy="3567430"/>
                <wp:effectExtent l="0" t="0" r="0" b="0"/>
                <wp:wrapTopAndBottom/>
                <wp:docPr id="1" name="Frame4"/>
                <a:graphic xmlns:a="http://schemas.openxmlformats.org/drawingml/2006/main">
                  <a:graphicData uri="http://schemas.microsoft.com/office/word/2010/wordprocessingShape">
                    <wps:wsp>
                      <wps:cNvSpPr txBox="1"/>
                      <wps:spPr>
                        <a:xfrm>
                          <a:off x="0" y="0"/>
                          <a:ext cx="4549775" cy="3567430"/>
                        </a:xfrm>
                        <a:prstGeom prst="rect"/>
                      </wps:spPr>
                      <wps:txbx>
                        <w:txbxContent>
                          <w:p>
                            <w:pPr>
                              <w:pStyle w:val="Figure"/>
                              <w:spacing w:before="120" w:after="120"/>
                              <w:rPr/>
                            </w:pPr>
                            <w:r>
                              <w:rPr/>
                              <w:drawing>
                                <wp:inline distT="0" distB="0" distL="0" distR="0">
                                  <wp:extent cx="4549775" cy="32829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(tbd: needs caption)</w:t>
                            </w:r>
                          </w:p>
                        </w:txbxContent>
                      </wps:txbx>
                      <wps:bodyPr anchor="t" lIns="0" tIns="0" rIns="0" bIns="0">
                        <a:noAutofit/>
                      </wps:bodyPr>
                    </wps:wsp>
                  </a:graphicData>
                </a:graphic>
              </wp:anchor>
            </w:drawing>
          </mc:Choice>
          <mc:Fallback>
            <w:pict>
              <v:rect style="position:absolute;rotation:0;width:358.25pt;height:280.9pt;mso-wrap-distance-left:0pt;mso-wrap-distance-right:0pt;mso-wrap-distance-top:0pt;mso-wrap-distance-bottom:0pt;margin-top:0pt;mso-position-vertical:top;mso-position-vertical-relative:text;margin-left:65.3pt;mso-position-horizontal:center;mso-position-horizontal-relative:text">
                <v:textbox inset="0in,0in,0in,0in">
                  <w:txbxContent>
                    <w:p>
                      <w:pPr>
                        <w:pStyle w:val="Figure"/>
                        <w:spacing w:before="120" w:after="120"/>
                        <w:rPr/>
                      </w:pPr>
                      <w:r>
                        <w:rPr/>
                        <w:drawing>
                          <wp:inline distT="0" distB="0" distL="0" distR="0">
                            <wp:extent cx="4549775" cy="32829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(tbd: needs caption)</w:t>
                      </w:r>
                    </w:p>
                  </w:txbxContent>
                </v:textbox>
                <w10:wrap type="topAndBottom"/>
              </v:rect>
            </w:pict>
          </mc:Fallback>
        </mc:AlternateContent>
      </w:r>
    </w:p>
    <w:p>
      <w:pPr>
        <w:pStyle w:val="Normal"/>
        <w:bidi w:val="0"/>
        <w:rPr/>
      </w:pPr>
      <w:r>
        <w:rPr/>
        <w:t xml:space="preserve">To examine the introspective opportunities further, consider the task of constructing a set, </w:t>
      </w:r>
      <w:bookmarkStart w:id="0" w:name="gen-h1-1-00000001"/>
      <w:bookmarkEnd w:id="0"/>
      <w:r>
        <w:rPr>
          <w:caps w:val="false"/>
          <w:smallCaps w:val="false"/>
          <w:color w:val="373637"/>
          <w:spacing w:val="0"/>
        </w:rPr>
        <w:t>ℱ</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bookmarkStart w:id="1" w:name="gen-h1-1-000000011"/>
      <w:bookmarkEnd w:id="1"/>
      <w:r>
        <w:rPr>
          <w:caps w:val="false"/>
          <w:smallCaps w:val="false"/>
          <w:color w:val="373637"/>
          <w:spacing w:val="0"/>
        </w:rPr>
        <w:t>ℱ</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There is also </w:t>
      </w:r>
      <w:r>
        <w:rPr>
          <w:i/>
          <w:iCs/>
        </w:rPr>
        <w:t>model-based</w:t>
      </w:r>
      <w:r>
        <w:rPr/>
        <w:t xml:space="preserve"> RL. One variant of </w:t>
      </w:r>
      <w:r>
        <w:rPr>
          <w:i w:val="false"/>
          <w:iCs w:val="false"/>
        </w:rPr>
        <w:t>model-based</w:t>
      </w:r>
      <w:r>
        <w:rPr/>
        <w:t xml:space="preserve"> RL uses ANNs to predict the expected outcome of executing an action. The introspective ability here is the same as for model-free deep RL -  the ANN is treated as a function. For the RL models mentioned so far, the set </w:t>
      </w:r>
      <w:r>
        <w:rPr>
          <w:caps w:val="false"/>
          <w:smallCaps w:val="false"/>
          <w:color w:val="373637"/>
          <w:spacing w:val="0"/>
        </w:rPr>
        <w:t>ℱ</w:t>
      </w:r>
      <w:r>
        <w:rPr/>
        <w:t xml:space="preserve"> of beliefs is of similar content: </w:t>
      </w:r>
      <w:r>
        <w:rPr>
          <w:caps w:val="false"/>
          <w:smallCaps w:val="false"/>
          <w:color w:val="373637"/>
          <w:spacing w:val="0"/>
        </w:rPr>
        <w:t>ℱ</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However, a significant point to note here is that ANNs, and neural networks in general, may not lend themselves naturally to introspection on their own.</w:t>
      </w:r>
    </w:p>
    <w:p>
      <w:pPr>
        <w:pStyle w:val="Normal"/>
        <w:rPr/>
      </w:pPr>
      <w:r>
        <w:rPr/>
        <w:t xml:space="preserve">For that reason, a third form of model exists, whereby a secondary model predicts the </w:t>
      </w:r>
      <w:r>
        <w:rPr/>
        <w:t>behaviors</w:t>
      </w:r>
      <w:r>
        <w:rPr/>
        <w:t xml:space="preserve"> of the former. The secondary model may, for example, be a second ANN that captures aspects of the same underlying system but at a more macro level, and it may be more suitable for integration with other data. This macro representation is at the core of the theory of Higher Order Thought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pPr>
      <w:r>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w:t>
      </w:r>
      <w:r>
        <w:rPr/>
        <w:t>hypothesizes</w:t>
      </w:r>
      <w:r>
        <w:rPr/>
        <w:t xml:space="preserve"> the existence of a second kind of schema, the </w:t>
      </w:r>
      <w:r>
        <w:rPr>
          <w:i/>
          <w:iCs/>
        </w:rPr>
        <w:t>mind schema</w:t>
      </w:r>
      <w:r>
        <w:rPr/>
        <w:t xml:space="preserve">, that performs an analogous role for the regulation of the mind and non-physical actions. Anecdotally, this seems highly plausible within humans given our introspective ability towards our own mind's capabilities. For example, we can know that we are good at </w:t>
      </w:r>
      <w:r>
        <w:rPr/>
        <w:t>focusing</w:t>
      </w:r>
      <w:r>
        <w:rPr/>
        <w:t xml:space="preserve">, but struggle with math, that we are more creative when background music is present, and that we need the support of tools to help remember people's names (eg: a notebook). The underlying notion here is that the mind schema helps us to control, monitor, predict, and </w:t>
      </w:r>
      <w:r>
        <w:rPr/>
        <w:t>rationalize</w:t>
      </w:r>
      <w:r>
        <w:rPr/>
        <w:t xml:space="preserv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w:t>
      </w:r>
      <w:r>
        <w:rPr>
          <w:i/>
          <w:iCs/>
        </w:rPr>
        <w:t>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w:t>
      </w:r>
      <w:r>
        <w:rPr/>
        <w:t>characterization</w:t>
      </w:r>
      <w:r>
        <w:rPr/>
        <w:t xml:space="preserve">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w:t>
      </w:r>
      <w:r>
        <w:rPr/>
        <w:t>characterize</w:t>
      </w:r>
      <w:r>
        <w:rPr/>
        <w:t xml:space="preserve"> any thought as falling into one of those three iterations.</w:t>
      </w:r>
    </w:p>
    <w:p>
      <w:pPr>
        <w:pStyle w:val="Normal"/>
        <w:rPr/>
      </w:pPr>
      <w:r>
        <w:rPr/>
        <w:t>Let:</w:t>
      </w:r>
    </w:p>
    <w:p>
      <w:pPr>
        <w:pStyle w:val="Normal"/>
        <w:numPr>
          <w:ilvl w:val="0"/>
          <w:numId w:val="3"/>
        </w:numPr>
        <w:rPr/>
      </w:pPr>
      <w:r>
        <w:rPr>
          <w:sz w:val="24"/>
        </w:rPr>
        <w:t>ℰ</w:t>
      </w:r>
      <w:r>
        <w:rPr/>
        <w:t xml:space="preserve"> </w:t>
      </w:r>
      <w:r>
        <w:rPr/>
        <w:t>be the agent's set of beliefs about the external world</w:t>
      </w:r>
    </w:p>
    <w:p>
      <w:pPr>
        <w:pStyle w:val="Normal"/>
        <w:numPr>
          <w:ilvl w:val="0"/>
          <w:numId w:val="3"/>
        </w:numPr>
        <w:rPr/>
      </w:pPr>
      <w:r>
        <w:rPr>
          <w:sz w:val="24"/>
        </w:rPr>
        <w:t>ℬ</w:t>
      </w:r>
      <w:r>
        <w:rPr/>
        <w:t xml:space="preserve"> </w:t>
      </w:r>
      <w:r>
        <w:rPr/>
        <w:t>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sz w:val="24"/>
        </w:rPr>
        <w:t>ℳ</w:t>
      </w:r>
      <w:r>
        <w:rPr/>
        <w:t xml:space="preserve"> </w:t>
      </w:r>
      <w:r>
        <w:rPr/>
        <w:t>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sz w:val="24"/>
        </w:rPr>
        <w:t>ℳ</w:t>
      </w:r>
      <w:r>
        <w:rPr/>
        <w:t xml:space="preserve"> </w:t>
      </w:r>
      <w:r>
        <w:rPr/>
        <w:t>can be thought of as an agent's "theory of mind", because it relates not only to itself but also to its ability to predict the hidden mental state of others.</w:t>
      </w:r>
    </w:p>
    <w:p>
      <w:pPr>
        <w:pStyle w:val="Heading2"/>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sz w:val="24"/>
        </w:rPr>
        <w:t>ℳ</w:t>
      </w:r>
      <w:r>
        <w:rPr/>
        <w:t xml:space="preserve"> (ie: </w:t>
      </w:r>
      <w:r>
        <w:rPr>
          <w:i/>
          <w:iCs/>
        </w:rPr>
        <w:t>x</w:t>
      </w:r>
      <w:r>
        <w:rPr/>
        <w:t xml:space="preserve"> ∉ </w:t>
      </w:r>
      <w:r>
        <w:rPr>
          <w:sz w:val="24"/>
        </w:rPr>
        <w:t>ℳ</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sz w:val="24"/>
        </w:rPr>
        <w:t>ℳ</w:t>
      </w:r>
      <w:r>
        <w:rPr/>
        <w:t xml:space="preserve"> and </w:t>
      </w:r>
      <w:r>
        <w:rPr>
          <w:i w:val="false"/>
          <w:iCs w:val="false"/>
        </w:rPr>
        <w:t>β</w:t>
      </w:r>
      <w:r>
        <w:rPr/>
        <w:t xml:space="preserve"> ∉ </w:t>
      </w:r>
      <w:r>
        <w:rPr>
          <w:sz w:val="24"/>
        </w:rPr>
        <w:t>ℳ</w:t>
      </w:r>
      <w:r>
        <w:rPr/>
        <w:t xml:space="preserve"> and α ⊄ </w:t>
      </w:r>
      <w:r>
        <w:rPr>
          <w:sz w:val="24"/>
        </w:rPr>
        <w:t>ℳ</w:t>
      </w:r>
      <w:r>
        <w:rPr/>
        <w:t xml:space="preserve"> and β ⊄ </w:t>
      </w:r>
      <w:r>
        <w:rPr>
          <w:sz w:val="24"/>
        </w:rPr>
        <w:t>ℳ</w:t>
      </w:r>
      <w:r>
        <w:rPr/>
        <w:t xml:space="preserve">). Given some sense input or past state </w:t>
      </w:r>
      <w:r>
        <w:rPr>
          <w:i/>
          <w:iCs/>
        </w:rPr>
        <w:t>s</w:t>
      </w:r>
      <w:r>
        <w:rPr/>
        <w:t xml:space="preserve">, a processing step is </w:t>
      </w:r>
      <w:r>
        <w:rPr/>
        <w:t>characterized</w:t>
      </w:r>
      <w:r>
        <w:rPr/>
        <w:t xml:space="preserve"> as Visceral Loop Iteration 1 if it is of the following form:</w:t>
      </w:r>
    </w:p>
    <w:p>
      <w:pPr>
        <w:pStyle w:val="Normal"/>
        <w:rPr>
          <w:i w:val="false"/>
          <w:i w:val="false"/>
          <w:iCs w:val="false"/>
        </w:rPr>
      </w:pPr>
      <w:r>
        <w:rPr>
          <w:i w:val="false"/>
          <w:iCs w:val="false"/>
        </w:rPr>
      </w:r>
      <m:oMath xmlns:m="http://schemas.openxmlformats.org/officeDocument/2006/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ℰ</m:t>
            </m:r>
            <m:r>
              <w:rPr>
                <w:rFonts w:ascii="Cambria Math" w:hAnsi="Cambria Math"/>
              </w:rPr>
              <m:t xml:space="preserve">∪</m:t>
            </m:r>
            <m:r>
              <w:rPr>
                <w:rFonts w:ascii="Cambria Math" w:hAnsi="Cambria Math"/>
              </w:rPr>
              <m:t xml:space="preserve">ℬ</m:t>
            </m:r>
            <m:r>
              <w:rPr>
                <w:rFonts w:ascii="Cambria Math" w:hAnsi="Cambria Math"/>
              </w:rPr>
              <m:t xml:space="preserve">∪</m:t>
            </m:r>
            <m:r>
              <w:rPr>
                <w:rFonts w:ascii="Cambria Math" w:hAnsi="Cambria Math"/>
              </w:rPr>
              <m:t xml:space="preserve">ℳ</m:t>
            </m:r>
          </m:e>
        </m:d>
        <m:r>
          <w:rPr>
            <w:rFonts w:ascii="Cambria Math" w:hAnsi="Cambria Math"/>
          </w:rPr>
          <m:t xml:space="preserve">→</m:t>
        </m:r>
        <m:r>
          <w:rPr>
            <w:rFonts w:ascii="Cambria Math" w:hAnsi="Cambria Math"/>
          </w:rPr>
          <m:t xml:space="preserve">x</m:t>
        </m:r>
      </m:oMath>
    </w:p>
    <w:p>
      <w:pPr>
        <w:pStyle w:val="Heading2"/>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sz w:val="24"/>
        </w:rPr>
        <w:t>ℳ</w:t>
      </w:r>
      <w:r>
        <w:rPr/>
        <w:t xml:space="preserve">. Given some prior inference </w:t>
      </w:r>
      <w:r>
        <w:rPr>
          <w:i/>
          <w:iCs/>
        </w:rPr>
        <w:t>y</w:t>
      </w:r>
      <w:r>
        <w:rPr/>
        <w:t xml:space="preserve">, a processing step is </w:t>
      </w:r>
      <w:r>
        <w:rPr/>
        <w:t>characterized</w:t>
      </w:r>
      <w:r>
        <w:rPr/>
        <w:t xml:space="preserve"> as Visceral Loop Iteration 2 if it is of the following form, and the relation with respect to </w:t>
      </w:r>
      <w:r>
        <w:rPr>
          <w:sz w:val="24"/>
        </w:rPr>
        <w:t>ℳ</w:t>
      </w:r>
      <w:r>
        <w:rPr/>
        <w:t xml:space="preserve"> is non-empty, and it can not be </w:t>
      </w:r>
      <w:r>
        <w:rPr/>
        <w:t>characterized</w:t>
      </w:r>
      <w:r>
        <w:rPr/>
        <w:t xml:space="preserve"> as Iteration 3:</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ℰ</m:t>
            </m:r>
            <m:r>
              <w:rPr>
                <w:rFonts w:ascii="Cambria Math" w:hAnsi="Cambria Math"/>
              </w:rPr>
              <m:t xml:space="preserve">∪</m:t>
            </m:r>
            <m:r>
              <w:rPr>
                <w:rFonts w:ascii="Cambria Math" w:hAnsi="Cambria Math"/>
              </w:rPr>
              <m:t xml:space="preserve">ℬ</m:t>
            </m:r>
            <m:r>
              <w:rPr>
                <w:rFonts w:ascii="Cambria Math" w:hAnsi="Cambria Math"/>
              </w:rPr>
              <m:t xml:space="preserve">∪</m:t>
            </m:r>
            <m:r>
              <w:rPr>
                <w:rFonts w:ascii="Cambria Math" w:hAnsi="Cambria Math"/>
              </w:rPr>
              <m:t xml:space="preserve">ℳ</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ℳ</m:t>
            </m:r>
          </m:e>
        </m:d>
      </m:oMath>
    </w:p>
    <w:p>
      <w:pPr>
        <w:pStyle w:val="Heading3"/>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sz w:val="24"/>
        </w:rPr>
        <w:t>ℳ</w:t>
      </w:r>
      <w:r>
        <w:rPr/>
        <w:t xml:space="preserve">), and to consider that in relation to its conception of mental capabilities in general or to its identity (ie: </w:t>
      </w:r>
      <w:r>
        <w:rPr>
          <w:sz w:val="24"/>
        </w:rPr>
        <w:t>ℳ</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ℳ</w:t>
      </w:r>
      <w:r>
        <w:rPr>
          <w:i/>
          <w:iCs/>
        </w:rPr>
        <w:t>)</w:t>
      </w:r>
      <w:r>
        <w:rPr/>
        <w:t xml:space="preserve">, and some subset of beliefs </w:t>
      </w:r>
      <w:r>
        <w:rPr>
          <w:i/>
          <w:iCs/>
        </w:rPr>
        <w:t>m</w:t>
      </w:r>
      <w:r>
        <w:rPr/>
        <w:t xml:space="preserve"> ⊂ </w:t>
      </w:r>
      <w:r>
        <w:rPr>
          <w:sz w:val="24"/>
        </w:rPr>
        <w:t>ℳ</w:t>
      </w:r>
      <w:r>
        <w:rPr/>
        <w:t xml:space="preserve">, a processing step is </w:t>
      </w:r>
      <w:r>
        <w:rPr/>
        <w:t>characterized</w:t>
      </w:r>
      <w:r>
        <w:rPr/>
        <w:t xml:space="preserve"> as Visceral Loop Iteration 3 if it is of the following form and the relation with respect to </w:t>
      </w:r>
      <w:r>
        <w:rPr>
          <w:sz w:val="24"/>
        </w:rPr>
        <w:t>ℳ</w:t>
      </w:r>
      <w:r>
        <w:rPr/>
        <w:t xml:space="preserve"> is non-empty:</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ℳ</m:t>
                </m:r>
              </m:e>
            </m:d>
            <m:r>
              <w:rPr>
                <w:rFonts w:ascii="Cambria Math" w:hAnsi="Cambria Math"/>
              </w:rPr>
              <m:t xml:space="preserve">,</m:t>
            </m:r>
            <m:r>
              <w:rPr>
                <w:rFonts w:ascii="Cambria Math" w:hAnsi="Cambria Math"/>
              </w:rPr>
              <m:t xml:space="preserve">ℰ</m:t>
            </m:r>
            <m:r>
              <w:rPr>
                <w:rFonts w:ascii="Cambria Math" w:hAnsi="Cambria Math"/>
              </w:rPr>
              <m:t xml:space="preserve">∪</m:t>
            </m:r>
            <m:r>
              <w:rPr>
                <w:rFonts w:ascii="Cambria Math" w:hAnsi="Cambria Math"/>
              </w:rPr>
              <m:t xml:space="preserve">ℬ</m:t>
            </m:r>
            <m:r>
              <w:rPr>
                <w:rFonts w:ascii="Cambria Math" w:hAnsi="Cambria Math"/>
              </w:rPr>
              <m:t xml:space="preserve">∪</m:t>
            </m:r>
            <m:r>
              <w:rPr>
                <w:rFonts w:ascii="Cambria Math" w:hAnsi="Cambria Math"/>
              </w:rPr>
              <m:t xml:space="preserve">ℳ</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ℳ</m:t>
            </m:r>
          </m:e>
        </m:d>
      </m:oMath>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rFonts w:cs="Times New Roman"/>
          <w:szCs w:val="24"/>
        </w:rPr>
        <w:t>References</w:t>
      </w:r>
    </w:p>
    <w:p>
      <w:pPr>
        <w:pStyle w:val="Normal"/>
        <w:spacing w:before="120" w:after="240"/>
        <w:rPr/>
      </w:pPr>
      <w:r>
        <w:rPr/>
      </w:r>
    </w:p>
    <w:sectPr>
      <w:headerReference w:type="even" r:id="rId3"/>
      <w:headerReference w:type="default" r:id="rId4"/>
      <w:headerReference w:type="first" r:id="rId5"/>
      <w:footerReference w:type="even" r:id="rId6"/>
      <w:footerReference w:type="default" r:id="rId7"/>
      <w:footnotePr>
        <w:numFmt w:val="decimal"/>
      </w:footnotePr>
      <w:type w:val="nextPage"/>
      <w:pgSz w:w="12240" w:h="15840"/>
      <w:pgMar w:left="1282" w:right="1181" w:header="283" w:top="1138" w:footer="510" w:bottom="1138" w:gutter="0"/>
      <w:lnNumType w:countBy="1" w:restart="continuous" w:distance="28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0" distR="0" simplePos="0" locked="0" layoutInCell="1" allowOverlap="1" relativeHeight="7" wp14:anchorId="51D4B8BD">
              <wp:simplePos x="0" y="0"/>
              <wp:positionH relativeFrom="margin">
                <wp:align>right</wp:align>
              </wp:positionH>
              <wp:positionV relativeFrom="paragraph">
                <wp:posOffset>635</wp:posOffset>
              </wp:positionV>
              <wp:extent cx="1509395" cy="433705"/>
              <wp:effectExtent l="0" t="0" r="0" b="0"/>
              <wp:wrapNone/>
              <wp:docPr id="5" name="Text Box 1"/>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themeColor="text1"/>
                              <w:szCs w:val="40"/>
                            </w:rPr>
                            <w:fldChar w:fldCharType="begin"/>
                          </w:r>
                          <w:r>
                            <w:rPr>
                              <w:szCs w:val="40"/>
                            </w:rPr>
                            <w:instrText> PAGE \* ARABIC </w:instrText>
                          </w:r>
                          <w:r>
                            <w:rPr>
                              <w:szCs w:val="40"/>
                            </w:rPr>
                            <w:fldChar w:fldCharType="separate"/>
                          </w:r>
                          <w:r>
                            <w:rPr>
                              <w:szCs w:val="40"/>
                            </w:rPr>
                            <w:t>4</w:t>
                          </w:r>
                          <w:r>
                            <w:rPr>
                              <w:szCs w:val="40"/>
                            </w:rPr>
                            <w:fldChar w:fldCharType="end"/>
                          </w:r>
                        </w:p>
                      </w:txbxContent>
                    </wps:txbx>
                    <wps:bodyPr>
                      <a:spAutoFit/>
                    </wps:bodyPr>
                  </wps:wsp>
                </a:graphicData>
              </a:graphic>
            </wp:anchor>
          </w:drawing>
        </mc:Choice>
        <mc:Fallback>
          <w:pict>
            <v:rect id="shape_0" ID="Text Box 1" stroked="f" style="position:absolute;margin-left:370pt;margin-top:0pt;width:118.75pt;height:34.05pt;mso-position-horizontal:right;mso-position-horizontal-relative:margin;mso-position-vertical:top" wp14:anchorId="51D4B8BD">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themeColor="text1"/>
                        <w:szCs w:val="40"/>
                      </w:rPr>
                      <w:fldChar w:fldCharType="begin"/>
                    </w:r>
                    <w:r>
                      <w:rPr>
                        <w:szCs w:val="40"/>
                      </w:rPr>
                      <w:instrText> PAGE \* ARABIC </w:instrText>
                    </w:r>
                    <w:r>
                      <w:rPr>
                        <w:szCs w:val="40"/>
                      </w:rPr>
                      <w:fldChar w:fldCharType="separate"/>
                    </w:r>
                    <w:r>
                      <w:rPr>
                        <w:szCs w:val="40"/>
                      </w:rPr>
                      <w:t>4</w:t>
                    </w:r>
                    <w:r>
                      <w:rPr>
                        <w:szCs w:val="40"/>
                      </w:rPr>
                      <w:fldChar w:fldCharType="end"/>
                    </w:r>
                  </w:p>
                </w:txbxContent>
              </v:textbox>
            </v:rect>
          </w:pict>
        </mc:Fallback>
      </mc:AlternateContent>
      <mc:AlternateContent>
        <mc:Choice Requires="wps">
          <w:drawing>
            <wp:anchor behindDoc="1" distT="0" distB="0" distL="0" distR="0" simplePos="0" locked="0" layoutInCell="1" allowOverlap="1" relativeHeight="10" wp14:anchorId="31D8D0F9">
              <wp:simplePos x="0" y="0"/>
              <wp:positionH relativeFrom="column">
                <wp:posOffset>-108585</wp:posOffset>
              </wp:positionH>
              <wp:positionV relativeFrom="paragraph">
                <wp:posOffset>-58420</wp:posOffset>
              </wp:positionV>
              <wp:extent cx="3672840" cy="433705"/>
              <wp:effectExtent l="0" t="0" r="4445" b="0"/>
              <wp:wrapNone/>
              <wp:docPr id="7" name="Text Box 2"/>
              <a:graphic xmlns:a="http://schemas.openxmlformats.org/drawingml/2006/main">
                <a:graphicData uri="http://schemas.microsoft.com/office/word/2010/wordprocessingShape">
                  <wps:wsp>
                    <wps:cNvSpPr/>
                    <wps:spPr>
                      <a:xfrm>
                        <a:off x="0" y="0"/>
                        <a:ext cx="3672360" cy="43308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6pt;width:289.1pt;height:34.05pt" wp14:anchorId="31D8D0F9">
              <w10:wrap type="square"/>
              <v:fill o:detectmouseclick="t" type="solid" color2="black"/>
              <v:stroke color="#3465a4" weight="9360" joinstyle="miter"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0" distR="0" simplePos="0" locked="0" layoutInCell="1" allowOverlap="1" relativeHeight="4" wp14:anchorId="2C4AF3B6">
              <wp:simplePos x="0" y="0"/>
              <wp:positionH relativeFrom="margin">
                <wp:align>right</wp:align>
              </wp:positionH>
              <wp:positionV relativeFrom="paragraph">
                <wp:posOffset>635</wp:posOffset>
              </wp:positionV>
              <wp:extent cx="1509395" cy="433705"/>
              <wp:effectExtent l="0" t="0" r="0" b="0"/>
              <wp:wrapNone/>
              <wp:docPr id="9" name="Text Box 56"/>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themeColor="text1"/>
                              <w:szCs w:val="40"/>
                            </w:rPr>
                            <w:fldChar w:fldCharType="begin"/>
                          </w:r>
                          <w:r>
                            <w:rPr>
                              <w:szCs w:val="40"/>
                            </w:rPr>
                            <w:instrText> PAGE \* ARABIC </w:instrText>
                          </w:r>
                          <w:r>
                            <w:rPr>
                              <w:szCs w:val="40"/>
                            </w:rPr>
                            <w:fldChar w:fldCharType="separate"/>
                          </w:r>
                          <w:r>
                            <w:rPr>
                              <w:szCs w:val="40"/>
                            </w:rPr>
                            <w:t>7</w:t>
                          </w:r>
                          <w:r>
                            <w:rPr>
                              <w:szCs w:val="40"/>
                            </w:rPr>
                            <w:fldChar w:fldCharType="end"/>
                          </w:r>
                        </w:p>
                      </w:txbxContent>
                    </wps:txbx>
                    <wps:bodyPr>
                      <a:spAutoFit/>
                    </wps:bodyPr>
                  </wps:wsp>
                </a:graphicData>
              </a:graphic>
            </wp:anchor>
          </w:drawing>
        </mc:Choice>
        <mc:Fallback>
          <w:pict>
            <v:rect id="shape_0" ID="Text Box 56" stroked="f" style="position:absolute;margin-left:370pt;margin-top:0pt;width:118.75pt;height:34.05pt;mso-position-horizontal:right;mso-position-horizontal-relative:margin;mso-position-vertical:top" wp14:anchorId="2C4AF3B6">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themeColor="text1"/>
                        <w:szCs w:val="40"/>
                      </w:rPr>
                      <w:fldChar w:fldCharType="begin"/>
                    </w:r>
                    <w:r>
                      <w:rPr>
                        <w:szCs w:val="40"/>
                      </w:rPr>
                      <w:instrText> PAGE \* ARABIC </w:instrText>
                    </w:r>
                    <w:r>
                      <w:rPr>
                        <w:szCs w:val="40"/>
                      </w:rPr>
                      <w:fldChar w:fldCharType="separate"/>
                    </w:r>
                    <w:r>
                      <w:rPr>
                        <w:szCs w:val="40"/>
                      </w:rPr>
                      <w:t>7</w:t>
                    </w:r>
                    <w:r>
                      <w:rPr>
                        <w:szCs w:val="4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 xml:space="preserve">A </w:t>
    </w:r>
    <w:r>
      <w:rPr/>
      <w:t>Characterization</w:t>
    </w:r>
    <w:r>
      <w:rPr/>
      <w:t xml:space="preserve"> of </w:t>
    </w:r>
    <w:r>
      <w:rPr/>
      <w:t>P</w:t>
    </w:r>
    <w:r>
      <w:rPr/>
      <w:t xml:space="preserve">rocessing </w:t>
    </w:r>
    <w:r>
      <w:rPr/>
      <w:t>L</w:t>
    </w:r>
    <w:r>
      <w:rPr/>
      <w:t>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 xml:space="preserve">A </w:t>
    </w:r>
    <w:r>
      <w:rPr/>
      <w:t>Characterization</w:t>
    </w:r>
    <w:r>
      <w:rPr/>
      <w:t xml:space="preserve"> of </w:t>
    </w:r>
    <w:r>
      <w:rPr/>
      <w:t>P</w:t>
    </w:r>
    <w:r>
      <w:rPr/>
      <w:t xml:space="preserve">rocessing </w:t>
    </w:r>
    <w:r>
      <w:rPr/>
      <w:t>L</w:t>
    </w:r>
    <w:r>
      <w:rPr/>
      <w:t>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4"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567"/>
        </w:tabs>
        <w:ind w:left="567" w:hanging="567"/>
      </w:pPr>
    </w:lvl>
    <w:lvl w:ilvl="3">
      <w:start w:val="1"/>
      <w:pStyle w:val="Heading4"/>
      <w:numFmt w:val="none"/>
      <w:suff w:val="nothing"/>
      <w:lvlText w:val=""/>
      <w:lvlJc w:val="left"/>
      <w:pPr>
        <w:tabs>
          <w:tab w:val="num" w:pos="567"/>
        </w:tabs>
        <w:ind w:left="567" w:hanging="567"/>
      </w:pPr>
    </w:lvl>
    <w:lvl w:ilvl="4">
      <w:start w:val="1"/>
      <w:pStyle w:val="Heading5"/>
      <w:numFmt w:val="none"/>
      <w:suff w:val="nothing"/>
      <w:lvlText w:val=""/>
      <w:lvlJc w:val="left"/>
      <w:pPr>
        <w:tabs>
          <w:tab w:val="num" w:pos="567"/>
        </w:tabs>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360"/>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13</TotalTime>
  <Application>LibreOffice/6.4.1.2$Windows_X86_64 LibreOffice_project/4d224e95b98b138af42a64d84056446d09082932</Application>
  <Pages>7</Pages>
  <Words>2948</Words>
  <Characters>15093</Characters>
  <CharactersWithSpaces>17971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2021-12-23T08:21:30Z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