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r>
        <w:rPr/>
        <w:t>Keywords: Access Consciousness, Phenomenal Consciousness, Biosemiotic Process, Visceral Loop, Monitoring and Control, Recurrent Process, Non-physical Action, Conscious Content</w:t>
      </w:r>
    </w:p>
    <w:p>
      <w:pPr>
        <w:pStyle w:val="AuthorList"/>
        <w:rPr/>
      </w:pPr>
      <w:r>
        <w:rPr/>
        <w:t>Abstract</w:t>
      </w:r>
    </w:p>
    <w:p>
      <w:pPr>
        <w:pStyle w:val="Normal"/>
        <w:rPr>
          <w:szCs w:val="24"/>
        </w:rPr>
      </w:pPr>
      <w:r>
        <w:rPr>
          <w:szCs w:val="24"/>
        </w:rPr>
        <w:t xml:space="preserve">The claim is made that recurrent cycles of </w:t>
      </w:r>
      <w:commentRangeStart w:id="0"/>
      <w:r>
        <w:rPr>
          <w:szCs w:val="24"/>
        </w:rPr>
        <w:t>non-physical "mental" actions</w:t>
      </w:r>
      <w:r>
        <w:rPr>
          <w:szCs w:val="24"/>
        </w:rPr>
      </w:r>
      <w:commentRangeEnd w:id="0"/>
      <w:r>
        <w:commentReference w:id="0"/>
      </w:r>
      <w:r>
        <w:rPr>
          <w:szCs w:val="24"/>
        </w:rPr>
        <w:t xml:space="preserve">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 xml:space="preserve">Any computational system is limited in the complexity that it can handle within a </w:t>
      </w:r>
      <w:commentRangeStart w:id="2"/>
      <w:r>
        <w:rPr>
          <w:szCs w:val="24"/>
        </w:rPr>
        <w:t>single computational step</w:t>
      </w:r>
      <w:r>
        <w:rPr>
          <w:szCs w:val="24"/>
        </w:rPr>
      </w:r>
      <w:commentRangeEnd w:id="2"/>
      <w:r>
        <w:commentReference w:id="2"/>
      </w:r>
      <w:r>
        <w:rPr>
          <w:szCs w:val="24"/>
        </w:rPr>
        <w:t>.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 xml:space="preserve">In biology, this provides scope for evolutionary pressures to trade off between a more energy hungry complex brain and a simpler less energy intensive one that takes longer to make some decisions. Van </w:t>
      </w:r>
      <w:commentRangeStart w:id="3"/>
      <w:r>
        <w:rPr>
          <w:szCs w:val="24"/>
        </w:rPr>
        <w:t>Bergen and Kriegeskorte (2020)</w:t>
      </w:r>
      <w:r>
        <w:rPr>
          <w:szCs w:val="24"/>
        </w:rPr>
      </w:r>
      <w:commentRangeEnd w:id="3"/>
      <w:r>
        <w:commentReference w:id="3"/>
      </w:r>
      <w:r>
        <w:rPr>
          <w:szCs w:val="24"/>
        </w:rPr>
        <w:t xml:space="preserve">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commentRangeStart w:id="4"/>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w:t>
      </w:r>
      <w:r>
        <w:rPr>
          <w:szCs w:val="24"/>
        </w:rPr>
      </w:r>
      <w:commentRangeEnd w:id="4"/>
      <w:r>
        <w:commentReference w:id="4"/>
      </w:r>
      <w:r>
        <w:rPr>
          <w:szCs w:val="24"/>
        </w:rPr>
        <w:t xml:space="preserve"> Different agentive architectures support different abilities for the agent to </w:t>
      </w:r>
      <w:commentRangeStart w:id="5"/>
      <w:r>
        <w:rPr>
          <w:szCs w:val="24"/>
        </w:rPr>
        <w:t>introspect</w:t>
      </w:r>
      <w:r>
        <w:rPr>
          <w:szCs w:val="24"/>
        </w:rPr>
      </w:r>
      <w:commentRangeEnd w:id="5"/>
      <w:r>
        <w:commentReference w:id="5"/>
      </w:r>
      <w:r>
        <w:rPr>
          <w:szCs w:val="24"/>
        </w:rPr>
        <w:t xml:space="preserve"> the internal structure of that model. In this paper the </w:t>
      </w:r>
      <w:r>
        <w:rPr>
          <w:i/>
          <w:iCs/>
          <w:szCs w:val="24"/>
        </w:rPr>
        <w:t>Visceral Loop</w:t>
      </w:r>
      <w:r>
        <w:rPr>
          <w:szCs w:val="24"/>
        </w:rPr>
        <w:t xml:space="preserve">, is offered </w:t>
      </w:r>
      <w:commentRangeStart w:id="6"/>
      <w:r>
        <w:rPr>
          <w:szCs w:val="24"/>
        </w:rPr>
        <w:t>as novel</w:t>
      </w:r>
      <w:r>
        <w:rPr>
          <w:szCs w:val="24"/>
        </w:rPr>
      </w:r>
      <w:commentRangeEnd w:id="6"/>
      <w:r>
        <w:commentReference w:id="6"/>
      </w:r>
      <w:r>
        <w:rPr>
          <w:szCs w:val="24"/>
        </w:rPr>
        <w:t xml:space="preserve"> framework for characterizing an agent's ability to </w:t>
      </w:r>
      <w:commentRangeStart w:id="7"/>
      <w:r>
        <w:rPr>
          <w:szCs w:val="24"/>
        </w:rPr>
        <w:t xml:space="preserve">introspect those models and then use them for drawing inferences about itself. </w:t>
      </w:r>
      <w:commentRangeEnd w:id="7"/>
      <w:r>
        <w:commentReference w:id="7"/>
      </w:r>
      <w:r>
        <w:rPr>
          <w:szCs w:val="24"/>
        </w:rPr>
      </w:r>
    </w:p>
    <w:p>
      <w:pPr>
        <w:pStyle w:val="Normal"/>
        <w:rPr>
          <w:szCs w:val="24"/>
        </w:rPr>
      </w:pPr>
      <w:r>
        <w:rPr>
          <w:szCs w:val="24"/>
        </w:rPr>
        <w:t xml:space="preserve">The descriptive power of the Visceral Loop will be illustrated through three human-centric examples: i) how an individual may reach the conclusion that they are conscious, ii) providing an upper bound on the data content of consciousness, and iii) </w:t>
      </w:r>
      <w:commentRangeStart w:id="8"/>
      <w:r>
        <w:rPr>
          <w:szCs w:val="24"/>
        </w:rPr>
        <w:t>providing a new interpretation of neurobiological studies suggesting that reported awareness occurs after the act of decision making.</w:t>
      </w:r>
      <w:commentRangeEnd w:id="8"/>
      <w:r>
        <w:commentReference w:id="8"/>
      </w:r>
      <w:r>
        <w:rPr>
          <w:szCs w:val="24"/>
        </w:rPr>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xml:space="preserve">.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w:t>
      </w:r>
      <w:commentRangeStart w:id="9"/>
      <w:r>
        <w:rPr>
          <w:szCs w:val="24"/>
        </w:rPr>
        <w:t>Final</w:t>
      </w:r>
      <w:r>
        <w:rPr>
          <w:szCs w:val="24"/>
        </w:rPr>
      </w:r>
      <w:commentRangeEnd w:id="9"/>
      <w:r>
        <w:commentReference w:id="9"/>
      </w:r>
      <w:r>
        <w:rPr>
          <w:szCs w:val="24"/>
        </w:rPr>
        <w:t xml:space="preserve">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commentRangeStart w:id="10"/>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xml:space="preserve">. This can be summarized as the following </w:t>
      </w:r>
      <w:commentRangeStart w:id="11"/>
      <w:r>
        <w:rPr/>
        <w:t>equation</w:t>
      </w:r>
      <w:r>
        <w:rPr/>
      </w:r>
      <w:commentRangeEnd w:id="11"/>
      <w:r>
        <w:commentReference w:id="11"/>
      </w:r>
      <w:r>
        <w:rPr/>
        <w:t>:</w:t>
      </w:r>
      <w:commentRangeEnd w:id="10"/>
      <w:r>
        <w:commentReference w:id="10"/>
      </w:r>
      <w:r>
        <w:rPr/>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jc w:val="left"/>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 xml:space="preserve">By way of example of the importance of such mind regulation, consider the case of fluent aphasia caused by damage to the </w:t>
      </w:r>
      <w:commentRangeStart w:id="12"/>
      <w:r>
        <w:rPr/>
        <w:t>Wernicke's</w:t>
      </w:r>
      <w:r>
        <w:rPr/>
      </w:r>
      <w:commentRangeEnd w:id="12"/>
      <w:r>
        <w:commentReference w:id="12"/>
      </w:r>
      <w:r>
        <w:rPr/>
        <w:t xml:space="preserve">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w:t>
      </w:r>
      <w:commentRangeStart w:id="13"/>
      <w:r>
        <w:rPr/>
        <w:t>corrective mechanism</w:t>
      </w:r>
      <w:r>
        <w:rPr/>
      </w:r>
      <w:commentRangeEnd w:id="13"/>
      <w:r>
        <w:commentReference w:id="13"/>
      </w:r>
      <w:r>
        <w:rPr/>
        <w:t>.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w:t>
      </w:r>
      <w:commentRangeStart w:id="14"/>
      <w:r>
        <w:rPr/>
        <w:t xml:space="preserve">model can be introspected </w:t>
      </w:r>
      <w:r>
        <w:rPr/>
      </w:r>
      <w:commentRangeEnd w:id="14"/>
      <w:r>
        <w:commentReference w:id="14"/>
      </w:r>
      <w:r>
        <w:rPr/>
        <w:t>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xml:space="preserve">, which shows an </w:t>
      </w:r>
      <w:commentRangeStart w:id="15"/>
      <w:r>
        <w:rPr/>
        <w:t>abstract syntax tree</w:t>
      </w:r>
      <w:r>
        <w:rPr>
          <w:rStyle w:val="FootnoteAnchor"/>
        </w:rPr>
        <w:footnoteReference w:id="3"/>
      </w:r>
      <w:r>
        <w:rPr/>
      </w:r>
      <w:commentRangeEnd w:id="15"/>
      <w:r>
        <w:commentReference w:id="15"/>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1223010" cy="1609725"/>
                <wp:effectExtent l="0" t="0" r="0" b="0"/>
                <wp:wrapTopAndBottom/>
                <wp:docPr id="1" name="Frame6"/>
                <a:graphic xmlns:a="http://schemas.openxmlformats.org/drawingml/2006/main">
                  <a:graphicData uri="http://schemas.microsoft.com/office/word/2010/wordprocessingShape">
                    <wps:wsp>
                      <wps:cNvSpPr/>
                      <wps:spPr>
                        <a:xfrm>
                          <a:off x="0" y="0"/>
                          <a:ext cx="1222200" cy="160920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25pt;margin-top:0.05pt;width:96.2pt;height:126.6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commentRangeStart w:id="16"/>
      <w:r>
        <w:rPr>
          <w:i/>
          <w:iCs/>
        </w:rPr>
        <w:t>introspection</w:t>
      </w:r>
      <w:r>
        <w:rPr>
          <w:i/>
          <w:iCs/>
        </w:rPr>
      </w:r>
      <w:commentRangeEnd w:id="16"/>
      <w:r>
        <w:commentReference w:id="16"/>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4541520" cy="6631305"/>
                <wp:effectExtent l="0" t="0" r="0" b="0"/>
                <wp:wrapTopAndBottom/>
                <wp:docPr id="5" name="Frame1"/>
                <a:graphic xmlns:a="http://schemas.openxmlformats.org/drawingml/2006/main">
                  <a:graphicData uri="http://schemas.microsoft.com/office/word/2010/wordprocessingShape">
                    <wps:wsp>
                      <wps:cNvSpPr/>
                      <wps:spPr>
                        <a:xfrm>
                          <a:off x="0" y="0"/>
                          <a:ext cx="4541040" cy="663084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6pt;margin-top:0.05pt;width:357.5pt;height:522.0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commentRangeStart w:id="17"/>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commentRangeEnd w:id="17"/>
      <w:r>
        <w:commentReference w:id="17"/>
      </w:r>
      <w:r>
        <w:rPr/>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 (2015):</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w:t>
      </w:r>
    </w:p>
    <w:p>
      <w:pPr>
        <w:pStyle w:val="Normal"/>
        <w:rPr/>
      </w:pPr>
      <w:r>
        <w:rPr/>
        <w:t xml:space="preserve">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w:t>
      </w:r>
      <w:commentRangeStart w:id="18"/>
      <w:r>
        <w:rPr/>
        <w:t>But there are aspects of the model that cannot be introspected – for example, we have no observability of the arrangement of the sense nerves used to infer the hand and feet positions, or of the effector nerves used to actuate their muscles.</w:t>
      </w:r>
      <w:commentRangeEnd w:id="18"/>
      <w:r>
        <w:commentReference w:id="18"/>
      </w:r>
      <w:r>
        <w:rPr/>
      </w:r>
    </w:p>
    <w:p>
      <w:pPr>
        <w:pStyle w:val="Normal"/>
        <w:rPr/>
      </w:pPr>
      <w:r>
        <w:rPr/>
        <w:t xml:space="preserve">This paper hypothesizes the existence of a second schema, the </w:t>
      </w:r>
      <w:r>
        <w:rPr>
          <w:i/>
          <w:iCs/>
        </w:rPr>
        <w:t>mind schema</w:t>
      </w:r>
      <w:r>
        <w:rPr/>
        <w:t xml:space="preserve">, that performs an analogous role for the regulation of the mind and non-physical actions. </w:t>
      </w:r>
      <w:commentRangeStart w:id="19"/>
      <w:r>
        <w:rPr/>
        <w:t>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commentRangeEnd w:id="19"/>
      <w:r>
        <w:commentReference w:id="19"/>
      </w:r>
      <w:r>
        <w:rPr/>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commentRangeStart w:id="20"/>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commentRangeEnd w:id="20"/>
      <w:r>
        <w:commentReference w:id="20"/>
      </w:r>
      <w:r>
        <w:rPr/>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w:t>
      </w:r>
      <w:commentRangeStart w:id="21"/>
      <w:r>
        <w:rPr/>
        <w:t>agent's theory of mind and to the agent's concept of its identity</w:t>
      </w:r>
      <w:r>
        <w:rPr/>
      </w:r>
      <w:commentRangeEnd w:id="21"/>
      <w:r>
        <w:commentReference w:id="21"/>
      </w:r>
      <w:r>
        <w:rPr/>
        <w:t>.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jc w:val="left"/>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w:t>
      </w:r>
      <w:commentRangeStart w:id="22"/>
      <w:r>
        <w:rPr>
          <w:rFonts w:eastAsia="Calibri" w:cs="" w:cstheme="minorBidi" w:eastAsiaTheme="minorHAnsi"/>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r>
      <w:commentRangeEnd w:id="22"/>
      <w:r>
        <w:commentReference w:id="22"/>
      </w:r>
      <w:r>
        <w:rPr>
          <w:rFonts w:eastAsia="Calibri" w:cs="" w:cstheme="minorBidi" w:eastAsiaTheme="minorHAnsi"/>
          <w:color w:val="auto"/>
          <w:kern w:val="0"/>
          <w:sz w:val="24"/>
          <w:szCs w:val="22"/>
          <w:lang w:val="en-US" w:eastAsia="en-US" w:bidi="ar-SA"/>
        </w:rPr>
        <w:t xml:space="preserve">.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Firstly, as so little is known of the nature of consciousness within non-human animals or in artificial agents,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w:t>
      </w:r>
      <w:commentRangeStart w:id="23"/>
      <w:r>
        <w:rPr/>
        <w:t>(Block, 1995).</w:t>
      </w:r>
      <w:r>
        <w:rPr/>
      </w:r>
      <w:commentRangeEnd w:id="23"/>
      <w:r>
        <w:commentReference w:id="23"/>
      </w:r>
      <w:r>
        <w:rPr/>
        <w:t xml:space="preserve">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 to be" (Nagel, 1974) a conscious organism. In approximate terms, P-Cs is the phenomenal aspect of having a subjective experience of the data content of A-Cs.</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w:t>
      </w:r>
      <w:commentRangeStart w:id="24"/>
      <w:r>
        <w:rPr/>
        <w:t>under the assumption that there is a single shared physical mechanism underlying them both</w:t>
      </w:r>
      <w:r>
        <w:rPr/>
      </w:r>
      <w:commentRangeEnd w:id="24"/>
      <w:r>
        <w:commentReference w:id="24"/>
      </w:r>
      <w:r>
        <w:rPr/>
        <w:t xml:space="preserve">. </w:t>
      </w:r>
      <w:commentRangeStart w:id="25"/>
      <w:r>
        <w:rPr/>
        <w:t xml:space="preserve">Here, </w:t>
      </w:r>
      <w:commentRangeStart w:id="26"/>
      <w:r>
        <w:rPr>
          <w:i/>
          <w:iCs/>
        </w:rPr>
        <w:t>data content</w:t>
      </w:r>
      <w:r>
        <w:rPr>
          <w:i/>
          <w:iCs/>
        </w:rPr>
      </w:r>
      <w:commentRangeEnd w:id="26"/>
      <w:r>
        <w:commentReference w:id="26"/>
      </w:r>
      <w:r>
        <w:rPr/>
        <w:t xml:space="preserve"> is used merely to draw a distinction between what is and what is not present within A-Cs or P-Cs.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commentRangeEnd w:id="25"/>
      <w:r>
        <w:commentReference w:id="25"/>
      </w:r>
      <w:r>
        <w:rPr/>
      </w:r>
    </w:p>
    <w:p>
      <w:pPr>
        <w:pStyle w:val="Heading2"/>
        <w:numPr>
          <w:ilvl w:val="1"/>
          <w:numId w:val="2"/>
        </w:numPr>
        <w:rPr/>
      </w:pPr>
      <w:r>
        <w:rPr/>
        <w:t>Concluding oneself as conscious</w:t>
      </w:r>
    </w:p>
    <w:p>
      <w:pPr>
        <w:pStyle w:val="Normal"/>
        <w:rPr/>
      </w:pPr>
      <w:commentRangeStart w:id="27"/>
      <w:r>
        <w:rPr/>
        <w:t>In this first example, the Visceral Loop is applied to understand the thought processes whereby an individual concludes themselves as conscious.</w:t>
      </w:r>
      <w:commentRangeEnd w:id="27"/>
      <w:r>
        <w:commentReference w:id="27"/>
      </w:r>
      <w:r>
        <w:rPr/>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commentRangeStart w:id="28"/>
      <w:r>
        <w:rPr/>
        <w:t>Content of conscious thought</w:t>
      </w:r>
      <w:commentRangeEnd w:id="28"/>
      <w:r>
        <w:commentReference w:id="28"/>
      </w:r>
      <w:r>
        <w:rPr/>
      </w:r>
    </w:p>
    <w:p>
      <w:pPr>
        <w:pStyle w:val="Normal"/>
        <w:rPr/>
      </w:pPr>
      <w:r>
        <w:rPr/>
        <w:t>As a second example of the descriptive power of the Visceral Loop, a theorem is now presented that makes the claim that the Visceral Loop explains the data content of conscious experience.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subsequently thought about; only that it is in principle available for such thought.</w:t>
      </w:r>
    </w:p>
    <w:p>
      <w:pPr>
        <w:pStyle w:val="Normal"/>
        <w:rPr/>
      </w:pPr>
      <w:r>
        <w:rPr/>
        <w:t>Theorem 1:</w:t>
      </w:r>
    </w:p>
    <w:p>
      <w:pPr>
        <w:pStyle w:val="Normal"/>
        <w:numPr>
          <w:ilvl w:val="0"/>
          <w:numId w:val="8"/>
        </w:numPr>
        <w:rPr/>
      </w:pPr>
      <w:r>
        <w:rPr/>
        <w:t>the data content of conscious experience is upper bounded by the data about which Visceral Loop iteration 2 inferences can be produced.</w:t>
      </w:r>
    </w:p>
    <w:p>
      <w:pPr>
        <w:pStyle w:val="Normal"/>
        <w:rPr/>
      </w:pPr>
      <w:r>
        <w:rPr/>
        <w:t>Proof:</w:t>
      </w:r>
    </w:p>
    <w:p>
      <w:pPr>
        <w:pStyle w:val="Normal"/>
        <w:numPr>
          <w:ilvl w:val="0"/>
          <w:numId w:val="9"/>
        </w:numPr>
        <w:rPr/>
      </w:pPr>
      <w:commentRangeStart w:id="29"/>
      <w:r>
        <w:rPr/>
        <w:t>Thought is a computational process</w:t>
      </w:r>
      <w:r>
        <w:rPr/>
      </w:r>
      <w:commentRangeEnd w:id="29"/>
      <w:r>
        <w:commentReference w:id="29"/>
      </w:r>
      <w:r>
        <w:rPr/>
        <w:t>, and thus is a series of inferences.</w:t>
      </w:r>
    </w:p>
    <w:p>
      <w:pPr>
        <w:pStyle w:val="Normal"/>
        <w:numPr>
          <w:ilvl w:val="0"/>
          <w:numId w:val="9"/>
        </w:numPr>
        <w:rPr/>
      </w:pPr>
      <w:commentRangeStart w:id="30"/>
      <w:r>
        <w:rPr/>
        <w:t>As per claim 1, all of conscious experience must be available for producing subsequent inferences about those conscious experiences.</w:t>
      </w:r>
      <w:commentRangeEnd w:id="30"/>
      <w:r>
        <w:commentReference w:id="30"/>
      </w:r>
      <w:r>
        <w:rPr/>
      </w:r>
    </w:p>
    <w:p>
      <w:pPr>
        <w:pStyle w:val="Normal"/>
        <w:numPr>
          <w:ilvl w:val="0"/>
          <w:numId w:val="9"/>
        </w:numPr>
        <w:rPr/>
      </w:pPr>
      <w:commentRangeStart w:id="31"/>
      <w:r>
        <w:rPr/>
        <w:t>As per claim 2, the individual must be able to identify that they produced those inferences.</w:t>
      </w:r>
      <w:commentRangeEnd w:id="31"/>
      <w:r>
        <w:commentReference w:id="31"/>
      </w:r>
      <w:r>
        <w:rPr/>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xml:space="preserve">, such as is claimed by the theory of </w:t>
      </w:r>
      <w:commentRangeStart w:id="32"/>
      <w:r>
        <w:rPr>
          <w:rFonts w:eastAsia="Calibri" w:cs="" w:cstheme="minorBidi" w:eastAsiaTheme="minorHAnsi"/>
          <w:color w:val="auto"/>
          <w:kern w:val="0"/>
          <w:sz w:val="24"/>
          <w:szCs w:val="22"/>
          <w:lang w:val="en-US" w:eastAsia="en-US" w:bidi="ar-SA"/>
        </w:rPr>
        <w:t>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r>
      <w:commentRangeEnd w:id="32"/>
      <w:r>
        <w:commentReference w:id="32"/>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 The intepretant may or may not accurately reflect the original referent, depending on the quality of representamen and on the ability of the system (ie: the intepreter) to infer information about the referent from the representamen. For example, in </w:t>
      </w:r>
      <w:r>
        <w:rPr/>
        <w:fldChar w:fldCharType="begin"/>
      </w:r>
      <w:r>
        <w:rPr/>
        <w:instrText> REF Ref_Figure2_label_and_number \h </w:instrText>
      </w:r>
      <w:r>
        <w:rPr/>
        <w:fldChar w:fldCharType="separate"/>
      </w:r>
      <w:r>
        <w:rPr/>
        <w:t>Figure 1</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representamen, but it 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6211570" cy="2672080"/>
                <wp:effectExtent l="0" t="0" r="0" b="0"/>
                <wp:wrapTopAndBottom/>
                <wp:docPr id="9" name="Frame5"/>
                <a:graphic xmlns:a="http://schemas.openxmlformats.org/drawingml/2006/main">
                  <a:graphicData uri="http://schemas.microsoft.com/office/word/2010/wordprocessingShape">
                    <wps:wsp>
                      <wps:cNvSpPr/>
                      <wps:spPr>
                        <a:xfrm>
                          <a:off x="0" y="0"/>
                          <a:ext cx="6211080" cy="267156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1"/>
                            <w:r>
                              <w:rPr/>
                              <w:t xml:space="preserve">Figure </w:t>
                            </w:r>
                            <w:r>
                              <w:rPr/>
                              <w:fldChar w:fldCharType="begin"/>
                            </w:r>
                            <w:r>
                              <w:rPr/>
                              <w:instrText> SEQ Figure \* ARABIC </w:instrText>
                            </w:r>
                            <w:r>
                              <w:rPr/>
                              <w:fldChar w:fldCharType="separate"/>
                            </w:r>
                            <w:r>
                              <w:rPr/>
                              <w:t>3</w:t>
                            </w:r>
                            <w:r>
                              <w:rPr/>
                              <w:fldChar w:fldCharType="end"/>
                            </w:r>
                            <w:bookmarkEnd w:id="5"/>
                            <w:bookmarkEnd w:id="6"/>
                            <w:r>
                              <w:rPr/>
                              <w:t>: 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The sign they use, 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val="false"/>
                                <w:iCs w:val="false"/>
                                <w:color w:val="auto"/>
                                <w:kern w:val="0"/>
                                <w:sz w:val="24"/>
                                <w:szCs w:val="24"/>
                                <w:lang w:val="en-US" w:eastAsia="en-US" w:bidi="ar-SA"/>
                              </w:rPr>
                              <w:t xml:space="preserve"> is the icon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15pt;margin-top:0.05pt;width:489pt;height:210.3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1"/>
                      <w:r>
                        <w:rPr/>
                        <w:t xml:space="preserve">Figure </w:t>
                      </w:r>
                      <w:r>
                        <w:rPr/>
                        <w:fldChar w:fldCharType="begin"/>
                      </w:r>
                      <w:r>
                        <w:rPr/>
                        <w:instrText> SEQ Figure \* ARABIC </w:instrText>
                      </w:r>
                      <w:r>
                        <w:rPr/>
                        <w:fldChar w:fldCharType="separate"/>
                      </w:r>
                      <w:r>
                        <w:rPr/>
                        <w:t>3</w:t>
                      </w:r>
                      <w:r>
                        <w:rPr/>
                        <w:fldChar w:fldCharType="end"/>
                      </w:r>
                      <w:bookmarkEnd w:id="7"/>
                      <w:bookmarkEnd w:id="8"/>
                      <w:r>
                        <w:rPr/>
                        <w:t>: 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The sign they use, 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val="false"/>
                          <w:iCs w:val="false"/>
                          <w:color w:val="auto"/>
                          <w:kern w:val="0"/>
                          <w:sz w:val="24"/>
                          <w:szCs w:val="24"/>
                          <w:lang w:val="en-US" w:eastAsia="en-US" w:bidi="ar-SA"/>
                        </w:rPr>
                        <w:t xml:space="preserve"> is the icon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illustrated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As illustrated in </w:t>
      </w:r>
      <w:r>
        <w:rPr/>
        <w:fldChar w:fldCharType="begin"/>
      </w:r>
      <w:r>
        <w:rPr/>
        <w:instrText> REF Ref_Figure4_label_and_number \h </w:instrText>
      </w:r>
      <w:r>
        <w:rPr/>
        <w:fldChar w:fldCharType="separate"/>
      </w:r>
      <w:r>
        <w:rPr/>
        <w:t>Figure 5</w:t>
      </w:r>
      <w:r>
        <w:rPr/>
        <w:fldChar w:fldCharType="end"/>
      </w:r>
      <w:r>
        <w:rPr/>
        <w:t>, the interpretant from before must itself be encoded in a representation. And that representation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6211570" cy="2073275"/>
                <wp:effectExtent l="0" t="0" r="0" b="0"/>
                <wp:wrapTopAndBottom/>
                <wp:docPr id="13" name="Frame7"/>
                <a:graphic xmlns:a="http://schemas.openxmlformats.org/drawingml/2006/main">
                  <a:graphicData uri="http://schemas.microsoft.com/office/word/2010/wordprocessingShape">
                    <wps:wsp>
                      <wps:cNvSpPr/>
                      <wps:spPr>
                        <a:xfrm>
                          <a:off x="0" y="0"/>
                          <a:ext cx="6211080" cy="207252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15pt;margin-top:0.05pt;width:489pt;height:163.1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6211570" cy="1706245"/>
                <wp:effectExtent l="0" t="0" r="0" b="0"/>
                <wp:wrapTopAndBottom/>
                <wp:docPr id="17" name="Frame8"/>
                <a:graphic xmlns:a="http://schemas.openxmlformats.org/drawingml/2006/main">
                  <a:graphicData uri="http://schemas.microsoft.com/office/word/2010/wordprocessingShape">
                    <wps:wsp>
                      <wps:cNvSpPr/>
                      <wps:spPr>
                        <a:xfrm>
                          <a:off x="0" y="0"/>
                          <a:ext cx="6211080" cy="170568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15pt;margin-top:0.05pt;width:489pt;height:134.2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Semiotics of internal thought</w:t>
                      </w:r>
                    </w:p>
                  </w:txbxContent>
                </v:textbox>
                <w10:wrap type="topAndBottom"/>
              </v:rect>
            </w:pict>
          </mc:Fallback>
        </mc:AlternateContent>
      </w:r>
    </w:p>
    <w:p>
      <w:pPr>
        <w:pStyle w:val="Normal"/>
        <w:rPr/>
      </w:pPr>
      <w:r>
        <w:rPr/>
        <w:t>The semiotic interpretation of cognition is important because it explains that a data state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Heading2"/>
        <w:numPr>
          <w:ilvl w:val="1"/>
          <w:numId w:val="2"/>
        </w:numPr>
        <w:rPr/>
      </w:pPr>
      <w:bookmarkStart w:id="13" w:name="__RefHeading___Toc5065_3695547975"/>
      <w:bookmarkEnd w:id="13"/>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w:t>
      </w:r>
      <w:r>
        <w:rPr>
          <w:i w:val="false"/>
          <w:iCs w:val="false"/>
        </w:rPr>
        <w:t>(Rosenthal 1997; Rosenthal 2006)</w:t>
      </w:r>
      <w:r>
        <w:rPr/>
        <w:t>. In HOTT, consciousness forms the highest layer of the hierarchy, and has access to the output from the immediate layer below, but not of further lower layers. Thus the information available for conscious thought is a unified high level abstract representation formed from the output of many sub-processes. The Visceral Loop does not require a HOTT architecture, but it explains how a HOTT architecture results in the specific nature of human experience in terms of their being a distinction between those internal processes which are directly observable, versus those which are not.</w:t>
      </w:r>
    </w:p>
    <w:p>
      <w:pPr>
        <w:pStyle w:val="Normal"/>
        <w:rPr/>
      </w:pPr>
      <w:r>
        <w:rPr/>
        <w:t>The Visceral Loop can also be seen as a monitoring and control device that governs the actions of the rest of the agent's cognitive function. This suggests why a higher-order layer is requisite. The internal processes of the entire brain are too complex to monitor at their native low-level neuronal states. The global monitoring and control function of the brain needs to know only the broad trends in behavior in order to predict whether the existing behavior is suitable for the larger objective. Thus it is more efficient that it operates over a higher-order unified representation that contains only the information that is pertinent for the purpose of self-governing.</w:t>
      </w:r>
    </w:p>
    <w:p>
      <w:pPr>
        <w:pStyle w:val="Normal"/>
        <w:rPr/>
      </w:pPr>
      <w:r>
        <w:rPr/>
        <w:t>Conveniently, this finally explains why we are conscious of certain processes within our own brains and not conscious of others – that our brains create a higher-order representation for the purpose of self-governing, and only that self-governing function has the full semiotic process capable of producing conscious experience, and thus we are only conscious of the data content that is presented to that self-governing process.</w:t>
      </w:r>
    </w:p>
    <w:p>
      <w:pPr>
        <w:pStyle w:val="Heading2"/>
        <w:numPr>
          <w:ilvl w:val="1"/>
          <w:numId w:val="2"/>
        </w:numPr>
        <w:rPr/>
      </w:pPr>
      <w:commentRangeStart w:id="33"/>
      <w:r>
        <w:rPr/>
        <w:t>A step towards understanding General Intelligence</w:t>
      </w:r>
      <w:commentRangeEnd w:id="33"/>
      <w:r>
        <w:commentReference w:id="33"/>
      </w:r>
      <w:r>
        <w:rPr/>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Visceral Loop may 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 it needs to incorporate recurrent non-physical actions, as per the arguments presented within this paper. This implies the need for the agent to introspect and monitor its own mental behaviors in order to control them for stability and efficiency. That monitoring and control operates as a semiotic process against the agent's own internal mental representations. Thus an AGI should be expected to exhibit the characteristics that are measured by the Visceral Loop, and one aspect of the level of advancement of the AGI can be measured by whether it can execute Visceral Loop Iterations 2 and 3.</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This suggests a particular AGI architecture whereby a discrete sub-component provides monitoring and control and governs the actions of multiple other sub-components, each with individual specializations, such as is illustrated in </w:t>
      </w:r>
      <w:r>
        <w:rPr>
          <w:rFonts w:eastAsia="Calibri" w:cs=""/>
          <w:color w:val="auto"/>
          <w:kern w:val="0"/>
          <w:sz w:val="24"/>
          <w:szCs w:val="22"/>
          <w:lang w:val="en-US" w:eastAsia="en-US" w:bidi="ar-SA"/>
        </w:rPr>
        <w:fldChar w:fldCharType="begin"/>
      </w:r>
      <w:r>
        <w:rPr>
          <w:sz w:val="24"/>
          <w:kern w:val="0"/>
          <w:szCs w:val="22"/>
          <w:rFonts w:eastAsia="Calibri" w:cs=""/>
          <w:color w:val="auto"/>
          <w:lang w:val="en-US" w:eastAsia="en-US" w:bidi="ar-SA"/>
        </w:rPr>
        <w:instrText> REF Ref_Figure5_label_and_number \h </w:instrText>
      </w:r>
      <w:r>
        <w:rPr>
          <w:sz w:val="24"/>
          <w:kern w:val="0"/>
          <w:szCs w:val="22"/>
          <w:rFonts w:eastAsia="Calibri" w:cs=""/>
          <w:color w:val="auto"/>
          <w:lang w:val="en-US" w:eastAsia="en-US" w:bidi="ar-SA"/>
        </w:rPr>
        <w:fldChar w:fldCharType="separate"/>
      </w:r>
      <w:r>
        <w:rPr>
          <w:sz w:val="24"/>
          <w:kern w:val="0"/>
          <w:szCs w:val="22"/>
          <w:rFonts w:eastAsia="Calibri" w:cs=""/>
          <w:color w:val="auto"/>
          <w:lang w:val="en-US" w:eastAsia="en-US" w:bidi="ar-SA"/>
        </w:rPr>
        <w:t>Figure 6</w:t>
      </w:r>
      <w:r>
        <w:rPr>
          <w:sz w:val="24"/>
          <w:kern w:val="0"/>
          <w:szCs w:val="22"/>
          <w:rFonts w:eastAsia="Calibri" w:cs=""/>
          <w:color w:val="auto"/>
          <w:lang w:val="en-US" w:eastAsia="en-US" w:bidi="ar-SA"/>
        </w:rPr>
        <w:fldChar w:fldCharType="end"/>
      </w:r>
      <w:r>
        <w:rPr>
          <w:rFonts w:eastAsia="Calibri" w:cs="" w:cstheme="minorBidi" w:eastAsiaTheme="minorHAnsi"/>
          <w:color w:val="auto"/>
          <w:kern w:val="0"/>
          <w:sz w:val="24"/>
          <w:szCs w:val="22"/>
          <w:lang w:val="en-US" w:eastAsia="en-US" w:bidi="ar-SA"/>
        </w:rPr>
        <w:t>. Were those sub-components to operate against each other through competitive processes alone, they may be at risk of chaotic behavior and runaway instabilities. Provided with an appropriate learning algorithm and an appropriate objective that measures the agents overall stability and efficiency, an aggregate system that incorporates a global monitoring and control function can efficiently learn to govern itself and to avoid chaotic runaway instabilities. For example, one such learning algorithm and objective is that of Active Inference (</w:t>
      </w:r>
      <w:r>
        <w:rPr>
          <w:rFonts w:eastAsia="Calibri" w:cs="" w:cstheme="minorBidi" w:eastAsiaTheme="minorHAnsi"/>
          <w:color w:val="202020"/>
          <w:kern w:val="0"/>
          <w:sz w:val="24"/>
          <w:szCs w:val="22"/>
          <w:lang w:val="en-US" w:eastAsia="en-US" w:bidi="ar-SA"/>
        </w:rPr>
        <w:t xml:space="preserve">Friston, Daunizeau, and Kiebel, 2009; </w:t>
      </w:r>
      <w:r>
        <w:rPr>
          <w:rFonts w:eastAsia="Calibri" w:cs="" w:cstheme="minorBidi" w:eastAsiaTheme="minorHAnsi"/>
          <w:color w:val="auto"/>
          <w:kern w:val="0"/>
          <w:sz w:val="24"/>
          <w:szCs w:val="22"/>
          <w:lang w:val="en-US" w:eastAsia="en-US" w:bidi="ar-SA"/>
        </w:rPr>
        <w:t>Tschantz, Baltieri, et al, 2020; Sajid, Ball, et al, 2021).</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mc:AlternateContent>
          <mc:Choice Requires="wps">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3605530" cy="5009515"/>
                <wp:effectExtent l="0" t="0" r="0" b="0"/>
                <wp:wrapTopAndBottom/>
                <wp:docPr id="21" name="Frame9"/>
                <a:graphic xmlns:a="http://schemas.openxmlformats.org/drawingml/2006/main">
                  <a:graphicData uri="http://schemas.microsoft.com/office/word/2010/wordprocessingShape">
                    <wps:wsp>
                      <wps:cNvSpPr/>
                      <wps:spPr>
                        <a:xfrm>
                          <a:off x="0" y="0"/>
                          <a:ext cx="3605040" cy="5009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14" w:name="Ref_Figure5_label_and_number"/>
                            <w:r>
                              <w:rPr/>
                              <w:drawing>
                                <wp:inline distT="0" distB="0" distL="0" distR="0">
                                  <wp:extent cx="3603625" cy="327787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tretch>
                                            <a:fillRect/>
                                          </a:stretch>
                                        </pic:blipFill>
                                        <pic:spPr bwMode="auto">
                                          <a:xfrm>
                                            <a:off x="0" y="0"/>
                                            <a:ext cx="3603625" cy="327787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6</w:t>
                            </w:r>
                            <w:r>
                              <w:rPr>
                                <w:color w:val="000000"/>
                              </w:rPr>
                              <w:fldChar w:fldCharType="end"/>
                            </w:r>
                            <w:bookmarkEnd w:id="14"/>
                            <w:r>
                              <w:rPr>
                                <w:color w:val="000000"/>
                              </w:rPr>
                              <w:t>: A potential AGI architecture.</w:t>
                            </w:r>
                            <w:r>
                              <w:rPr>
                                <w:i w:val="false"/>
                                <w:iCs w:val="false"/>
                                <w:color w:val="000000"/>
                              </w:rPr>
                              <w:t xml:space="preserve"> A Monitoring and Control unit governs the execution of individual specialized modules. Based on discussions within Section </w:t>
                            </w:r>
                            <w:r>
                              <w:rPr>
                                <w:i w:val="false"/>
                                <w:iCs w:val="false"/>
                                <w:color w:val="000000"/>
                              </w:rPr>
                              <w:fldChar w:fldCharType="begin"/>
                            </w:r>
                            <w:r>
                              <w:rPr>
                                <w:i w:val="false"/>
                                <w:iCs w:val="false"/>
                                <w:color w:val="000000"/>
                              </w:rPr>
                              <w:instrText> REF __RefHeading___Toc5065_3695547975 \r \h </w:instrText>
                            </w:r>
                            <w:r>
                              <w:rPr>
                                <w:i w:val="false"/>
                                <w:iCs w:val="false"/>
                                <w:color w:val="000000"/>
                              </w:rPr>
                              <w:fldChar w:fldCharType="separate"/>
                            </w:r>
                            <w:r>
                              <w:rPr>
                                <w:i w:val="false"/>
                                <w:iCs w:val="false"/>
                                <w:color w:val="000000"/>
                              </w:rPr>
                              <w:t>7.2</w:t>
                            </w:r>
                            <w:r>
                              <w:rPr>
                                <w:i w:val="false"/>
                                <w:iCs w:val="false"/>
                                <w:color w:val="000000"/>
                              </w:rPr>
                              <w:fldChar w:fldCharType="end"/>
                            </w:r>
                            <w:r>
                              <w:rPr>
                                <w:i w:val="false"/>
                                <w:iCs w:val="false"/>
                                <w:color w:val="000000"/>
                              </w:rPr>
                              <w:t>, the monitoring and control unit views the behaviors of the individual modules through a higher-order translation, and applies control either directly or through reverse higher-order translation. A global workspace model is naively assumed for sharing of information between modules.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102.45pt;margin-top:0.05pt;width:283.8pt;height:394.3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15" w:name="Ref_Figure5_label_and_number"/>
                      <w:r>
                        <w:rPr/>
                        <w:drawing>
                          <wp:inline distT="0" distB="0" distL="0" distR="0">
                            <wp:extent cx="3603625" cy="327787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3"/>
                                    <a:stretch>
                                      <a:fillRect/>
                                    </a:stretch>
                                  </pic:blipFill>
                                  <pic:spPr bwMode="auto">
                                    <a:xfrm>
                                      <a:off x="0" y="0"/>
                                      <a:ext cx="3603625" cy="327787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6</w:t>
                      </w:r>
                      <w:r>
                        <w:rPr>
                          <w:color w:val="000000"/>
                        </w:rPr>
                        <w:fldChar w:fldCharType="end"/>
                      </w:r>
                      <w:bookmarkEnd w:id="15"/>
                      <w:r>
                        <w:rPr>
                          <w:color w:val="000000"/>
                        </w:rPr>
                        <w:t>: A potential AGI architecture.</w:t>
                      </w:r>
                      <w:r>
                        <w:rPr>
                          <w:i w:val="false"/>
                          <w:iCs w:val="false"/>
                          <w:color w:val="000000"/>
                        </w:rPr>
                        <w:t xml:space="preserve"> A Monitoring and Control unit governs the execution of individual specialized modules. Based on discussions within Section </w:t>
                      </w:r>
                      <w:r>
                        <w:rPr>
                          <w:i w:val="false"/>
                          <w:iCs w:val="false"/>
                          <w:color w:val="000000"/>
                        </w:rPr>
                        <w:fldChar w:fldCharType="begin"/>
                      </w:r>
                      <w:r>
                        <w:rPr>
                          <w:i w:val="false"/>
                          <w:iCs w:val="false"/>
                          <w:color w:val="000000"/>
                        </w:rPr>
                        <w:instrText> REF __RefHeading___Toc5065_3695547975 \r \h </w:instrText>
                      </w:r>
                      <w:r>
                        <w:rPr>
                          <w:i w:val="false"/>
                          <w:iCs w:val="false"/>
                          <w:color w:val="000000"/>
                        </w:rPr>
                        <w:fldChar w:fldCharType="separate"/>
                      </w:r>
                      <w:r>
                        <w:rPr>
                          <w:i w:val="false"/>
                          <w:iCs w:val="false"/>
                          <w:color w:val="000000"/>
                        </w:rPr>
                        <w:t>7.2</w:t>
                      </w:r>
                      <w:r>
                        <w:rPr>
                          <w:i w:val="false"/>
                          <w:iCs w:val="false"/>
                          <w:color w:val="000000"/>
                        </w:rPr>
                        <w:fldChar w:fldCharType="end"/>
                      </w:r>
                      <w:r>
                        <w:rPr>
                          <w:i w:val="false"/>
                          <w:iCs w:val="false"/>
                          <w:color w:val="000000"/>
                        </w:rPr>
                        <w:t>, the monitoring and control unit views the behaviors of the individual modules through a higher-order translation, and applies control either directly or through reverse higher-order translation. A global workspace model is naively assumed for sharing of information between modules.</w:t>
                      </w:r>
                    </w:p>
                  </w:txbxContent>
                </v:textbox>
                <w10:wrap type="topAndBottom"/>
              </v:rect>
            </w:pict>
          </mc:Fallback>
        </mc:AlternateContent>
      </w:r>
    </w:p>
    <w:p>
      <w:pPr>
        <w:pStyle w:val="Heading2"/>
        <w:numPr>
          <w:ilvl w:val="1"/>
          <w:numId w:val="2"/>
        </w:numPr>
        <w:rPr/>
      </w:pPr>
      <w:r>
        <w:rPr/>
        <w:t>A step towards understanding Consciousness</w:t>
      </w:r>
    </w:p>
    <w:p>
      <w:pPr>
        <w:pStyle w:val="Normal"/>
        <w:rPr/>
      </w:pPr>
      <w:r>
        <w:rPr/>
        <w:t xml:space="preserve">Within 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 but the Visceral Loop provides a mathematical basis for understanding the potential for consciousness in other agents, including artificial ones. 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commentRangeStart w:id="34"/>
      <w:r>
        <w:rPr>
          <w:rFonts w:eastAsia="Calibri" w:cs="" w:cstheme="minorBidi" w:eastAsiaTheme="minorHAnsi"/>
          <w:color w:val="auto"/>
          <w:kern w:val="0"/>
          <w:sz w:val="24"/>
          <w:szCs w:val="22"/>
          <w:lang w:val="en-US" w:eastAsia="en-US" w:bidi="ar-SA"/>
        </w:rPr>
        <w:t xml:space="preserve">Integrated Information Theory (IIT) </w:t>
      </w:r>
      <w:r>
        <w:rPr>
          <w:rFonts w:eastAsia="Calibri" w:cs="" w:cstheme="minorBidi" w:eastAsiaTheme="minorHAnsi"/>
          <w:color w:val="auto"/>
          <w:kern w:val="0"/>
          <w:sz w:val="24"/>
          <w:szCs w:val="22"/>
          <w:lang w:val="en-US" w:eastAsia="en-US" w:bidi="ar-SA"/>
        </w:rPr>
      </w:r>
      <w:commentRangeEnd w:id="34"/>
      <w:r>
        <w:commentReference w:id="34"/>
      </w:r>
      <w:r>
        <w:rPr>
          <w:rFonts w:eastAsia="Calibri" w:cs="" w:cstheme="minorBidi" w:eastAsiaTheme="minorHAnsi"/>
          <w:color w:val="auto"/>
          <w:kern w:val="0"/>
          <w:sz w:val="24"/>
          <w:szCs w:val="22"/>
          <w:lang w:val="en-US" w:eastAsia="en-US" w:bidi="ar-SA"/>
        </w:rPr>
        <w:t xml:space="preserve">(Tononi, 2004; Oizumi et al., 2014). IIT provides a mechanism for quantifying the amount of recurrent integration in a system, symbolized in its amount of </w:t>
      </w:r>
      <w:r>
        <w:rPr>
          <w:lang w:val="en-US" w:eastAsia="en-US" w:bidi="ar-SA"/>
        </w:rPr>
        <w:t>Φ.</w:t>
      </w:r>
      <w:r>
        <w:rPr>
          <w:rFonts w:eastAsia="Calibri" w:cs="" w:cstheme="minorBidi" w:eastAsiaTheme="minorHAnsi"/>
          <w:color w:val="auto"/>
          <w:kern w:val="0"/>
          <w:sz w:val="24"/>
          <w:szCs w:val="22"/>
          <w:lang w:val="en-US" w:eastAsia="en-US" w:bidi="ar-SA"/>
        </w:rPr>
        <w:t xml:space="preserve"> Importantly, IIT is applicable to both biological and artificial agents. The Visceral Loop is thus compatible with and enhances IIT, in that it gives a higher-level reason for the need for recurrency.</w:t>
      </w:r>
    </w:p>
    <w:p>
      <w:pPr>
        <w:pStyle w:val="Normal"/>
        <w:rPr/>
      </w:pPr>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 Visceral Loop offers significant insight into consciousness, 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Theory 1, presented above, is weakened somewhat by the fact that it avoids clarifying whether it applies to A-Cs, P-Cs, or both. Unfortunately such an analysis is hampered due to presently irreconcilable differences in opinion about the relative natures and definitions of A-Cs and P-Cs, and about whether 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 For example, some authors make the claim that P-Cs can exist without A-Cs (Block, 1995; Armstrong, 1995). This would imply some kind of representational content within P-Cs that is independent of A-Cs and thus cannot be subsequently thought about (ie: violating Claim 1). There is also research suggesting that some A-Cs information can influence our subsequent thought without us having P-Cs 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In both cases there remains heated debate with no obvious end in sight. The best we can say is that A-Cs and P-Cs largely correlate, although there may be exceptions. The author believes that stronger claims can yet be made about the natures of both A-Cs and P-Cs in terms of the Visceral Loop, but that shall remain the topic of a separate investigation.</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The theories presented in this paper make no claim over the so called "hard problem of consciousness" – the question of why we have phenomenal experience at all (Chalmers, 1995). That remains an open question. The definition of the Visceral Loop itself is compatible with many of the existing arguments that attempt to address the hard problem, although Theory 1 is challenged by some such arguments.</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One area in which the Visceral Loop does not suffer from a common limitation is that it avoids any risk of a recursive definition of conscious thought. Based on the Visceral Loop, a tentative definition of consciousness might be that:</w:t>
      </w:r>
    </w:p>
    <w:p>
      <w:pPr>
        <w:pStyle w:val="Normal"/>
        <w:ind w:left="36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We are conscious of a perception or thought if that perception or thought is in principle capable of being subsequently thought about via Visceral Loop Iterations 2 or 3, and we have subjective experience of it at the moment that an Iteration 2 or 3 result is produced.</w:t>
      </w:r>
    </w:p>
    <w:p>
      <w:pPr>
        <w:pStyle w:val="Normal"/>
        <w:ind w:left="0" w:hanging="0"/>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An important point here is that the perception or thought does not have to be immediately processed by Iteration 2 or 3; it can pass via memory and be processed by Iteration 2 or 3 at a later moment. In fact, anything that is accessible from memory and which is capable of being processed through Iteration 2 or 3 (subject to the availability of the necessary data pathways) can be subjectively experienced.</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introspective abilities, such as that enjoyed by humans. The Visceral Loop provides a mechanism to mathematically reason about those introspective abilities, and to classify the capabilities of different architectures. Where Integrated Information Theory (IIT) provides a mechanism for quantifying the amount of recurrent integration in a system, the theory behind the Visceral Loop explains why that recurrency is important in the first place. The Visceral Loop provides a mechanism for qualifying the introspective capabilities in a way that is simultaneously at a coarser grain and simpler to calculate than what IIT targets.</w:t>
      </w:r>
    </w:p>
    <w:p>
      <w:pPr>
        <w:pStyle w:val="Normal"/>
        <w:rPr>
          <w:rFonts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Visceral Loop provides insight into consciousness in general. It shows that the content of consciousness is defined by a biosemiotic process that operates against a higher-order summary of the internal processes of the rest of the brain, and that it is necessary for stable functioning of a complex cognitive system. It also suggests a pathway towards building an Artificial General Intelligence. It suggests the introduction of a self-monitoring and control process that governs the execution of multiple specialized modules which.</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rPr>
          <w:i w:val="false"/>
          <w:i w:val="false"/>
          <w:iCs w:val="false"/>
        </w:rPr>
      </w:pPr>
      <w:r>
        <w:rPr/>
        <w:t>Armstrong, D. M. (1995). Perception-consciousness and action-consciousness? Behav. Brain Sci., 18:2, 247-248, doi:10.1017/S0140525X0003819X.</w:t>
      </w:r>
    </w:p>
    <w:p>
      <w:pPr>
        <w:pStyle w:val="Normal"/>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rPr/>
      </w:pPr>
      <w:r>
        <w:rPr/>
        <w:t>Colagrosso, M. D., and Mozer, M. C. (2004). Theories Of Access Consciousness. NeurNIPS 2004.</w:t>
      </w:r>
    </w:p>
    <w:p>
      <w:pPr>
        <w:pStyle w:val="Normal"/>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rPr/>
      </w:pPr>
      <w:r>
        <w:rPr>
          <w:color w:val="202020"/>
        </w:rPr>
        <w:t>Friston, K. J., Daunizeau, J., Kiebel, S. J. (2009). Reinforcement Learning or Active Inference? PLOS ONE, 4:7, doi:10.1371/journal.pone.0006421.</w:t>
      </w:r>
    </w:p>
    <w:p>
      <w:pPr>
        <w:pStyle w:val="Normal"/>
        <w:rPr/>
      </w:pPr>
      <w:r>
        <w:rPr/>
        <w:t>Goodfellow, I., Bengio, Y., and Courville, A. (2016). Deep learning. MIT Press.</w:t>
      </w:r>
    </w:p>
    <w:p>
      <w:pPr>
        <w:pStyle w:val="Normal"/>
        <w:rPr/>
      </w:pPr>
      <w:r>
        <w:rPr/>
        <w:t>Graziano, M. S. A., and Kastner, S. (2011). Human consciousness and its relationship to social neuroscience: a novel hypothesis. Cogn. Neurosci. 2, 98–113. doi:10.1080/17588928.2011.565121</w:t>
      </w:r>
    </w:p>
    <w:p>
      <w:pPr>
        <w:pStyle w:val="Normal"/>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rPr/>
      </w:pPr>
      <w:r>
        <w:rPr/>
        <w:t>Kubilius, J., Schrimpf, M., Kar, K., Rajalingham, R., Hong, H., Majaj, N., Issa, E., et al. (2019). Brain-like object recognition with high-performing shallow recurrent anns. NeurIPS 2019, 12805-12816.</w:t>
      </w:r>
    </w:p>
    <w:p>
      <w:pPr>
        <w:pStyle w:val="Normal"/>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rPr/>
      </w:pPr>
      <w:r>
        <w:rPr/>
        <w:t>Oizumi, M., Albantakis, L., and Tononi, G. (2014). From the phenomenology to the mechanisms of consciousness: integrated information theory 3.0. PLoS Comput. Biol. 10:e1003588. doi:10.1371/journal.pcbi.1003588.</w:t>
      </w:r>
    </w:p>
    <w:p>
      <w:pPr>
        <w:pStyle w:val="Normal"/>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rPr/>
      </w:pPr>
      <w:r>
        <w:rPr/>
        <w:t>Sajid, N., Ball, P. J., Parr, T., Friston, K. J. (2021). Active Inference: Demystified and Compared. Neural. Comput., 33:3, 674–712, doi:10.1162/neco_a_01357.</w:t>
      </w:r>
    </w:p>
    <w:p>
      <w:pPr>
        <w:pStyle w:val="Normal"/>
        <w:rPr/>
      </w:pPr>
      <w:r>
        <w:rPr/>
        <w:t>Seth, A. K., Suzuki, K., and Critchley, H. D. (2012). An interoceptive predictive coding model of conscious presence. Front. Psychol., 2:395. doi:10.3389/fpsyg.2011.00395.</w:t>
      </w:r>
    </w:p>
    <w:p>
      <w:pPr>
        <w:pStyle w:val="Normal"/>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rPr/>
      </w:pPr>
      <w:r>
        <w:rPr/>
        <w:t>Tschantz, A., Baltieri, M., Seth, A., and Buckley, C. (2020). Scaling Active Inference. IJCNN, 1-8, doi: 10.1109/IJCNN48605.2020.9207382.</w:t>
      </w:r>
    </w:p>
    <w:p>
      <w:pPr>
        <w:pStyle w:val="Normal"/>
        <w:rPr/>
      </w:pPr>
      <w:r>
        <w:rPr/>
        <w:t>Tononi, G. (2004). An Information Integration Theory of Consciousness. BMC Neurosci., 5:42, doi:10.1186/1471-2202-5-42.</w:t>
      </w:r>
    </w:p>
    <w:p>
      <w:pPr>
        <w:pStyle w:val="Normal"/>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rPr/>
      </w:pPr>
      <w:r>
        <w:rPr/>
        <w:t>Webb, T. W., and Graziano, M. S. A. (2015). The attention schema theory: a mechanistic account of subjective awareness. Front. Psychol. 6:500. doi:10.3389/fpsyg.2015.00500.</w:t>
      </w:r>
    </w:p>
    <w:p>
      <w:pPr>
        <w:pStyle w:val="Normal"/>
        <w:widowControl/>
        <w:suppressAutoHyphens w:val="true"/>
        <w:bidi w:val="0"/>
        <w:spacing w:lineRule="auto" w:line="240" w:before="120" w:after="240"/>
        <w:jc w:val="left"/>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sectPr>
      <w:headerReference w:type="even" r:id="rId14"/>
      <w:headerReference w:type="default" r:id="rId15"/>
      <w:headerReference w:type="first" r:id="rId16"/>
      <w:footerReference w:type="even" r:id="rId17"/>
      <w:footerReference w:type="default" r:id="rId18"/>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4-23T16:42:2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Rev2: The paper refers to mental states as 'non-physical action'. It is not entirely clear what this refers to. But I get the impression that it refers to the absence of a bodily action. So, metal processing would go through a number of stages, in which the in-between stages would not result in a bodily reaction. But, of course, this does not mean that the results of these stages or the stages themselves are 'non-physical actions'. Instead, they could result in very physical effects, e.g., in changing the network structure or dynamics in the brain, as indeed observed in neuroimaging (e.g. resting state neuroimaging)</w:t>
      </w:r>
    </w:p>
  </w:comment>
  <w:comment w:id="1" w:author="Unknown Author" w:date="2022-04-23T16:21: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The introduction sounds more like "Aims" or "Hypotheses". The manuscript lacks a proper Introduction or Background part. However, the Introduction part, also understood as "Aims", should be more detailed. For example, it would be good to see more references.</w:t>
      </w:r>
    </w:p>
  </w:comment>
  <w:comment w:id="2" w:author="Unknown Author" w:date="2022-04-21T17:56:15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may need clarifying</w:t>
      </w:r>
    </w:p>
  </w:comment>
  <w:comment w:id="3" w:author="Unknown Author" w:date="2022-04-21T17:55: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missing from references list</w:t>
      </w:r>
    </w:p>
  </w:comment>
  <w:comment w:id="4" w:author="Unknown Author" w:date="2022-04-21T17:56:4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likely needs clarification</w:t>
      </w:r>
    </w:p>
  </w:comment>
  <w:comment w:id="5" w:author="Unknown Author" w:date="2022-04-21T17:57:0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first use of ‘introspect’ in main body. May connote specific meanings for readers.</w:t>
      </w:r>
    </w:p>
  </w:comment>
  <w:comment w:id="6" w:author="Unknown Author" w:date="2022-04-21T17:57:52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“as a novel”</w:t>
      </w:r>
    </w:p>
  </w:comment>
  <w:comment w:id="7" w:author="Unknown Author" w:date="2022-04-21T17:58:2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why is this useful?</w:t>
      </w:r>
    </w:p>
  </w:comment>
  <w:comment w:id="8" w:author="Unknown Author" w:date="2022-04-21T18:01:1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too much?</w:t>
      </w:r>
    </w:p>
  </w:comment>
  <w:comment w:id="9" w:author="Unknown Author" w:date="2022-04-21T18:10: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misses out the “Analysis” section</w:t>
      </w:r>
    </w:p>
  </w:comment>
  <w:comment w:id="11" w:author="Unknown Author" w:date="2022-04-23T16:50:35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Rev2: In line 56 and elsewhere it is not clear at all what the operator + means</w:t>
      </w:r>
    </w:p>
  </w:comment>
  <w:comment w:id="10" w:author="Unknown Author" w:date="2022-04-23T16:48:55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Rev2: The use of equations and functions in the paper is meaningless, as for example the equation in line 56 (same for the others). Here a sum is presented. But it is not clear what it means. For example, the description in lines 51-55 is completely unclear. E.g. what does 'operate within a system that contains an environmental state' or 'perform an action against the environment' or 'regulate itself towards some target' mean?</w:t>
      </w:r>
    </w:p>
  </w:comment>
  <w:comment w:id="12" w:author="Unknown Author" w:date="2022-04-23T16:21:4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cite peer-reviewed articles instead of the Wikipedia page. Furthermore, it would be good if along with aphasia, the authors could cite other examples to support the feedback hypothesis.</w:t>
      </w:r>
    </w:p>
  </w:comment>
  <w:comment w:id="13" w:author="Unknown Author" w:date="2022-04-21T18:30:45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needs citation</w:t>
      </w:r>
    </w:p>
  </w:comment>
  <w:comment w:id="14" w:author="Unknown Author" w:date="2022-04-21T18:31: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from this point on, “introspection” becomes quite a significant topic, but there’s insufficient intro into why introspection is such a big deal. Only explanation so far is the paragraph immediately prior, which is isn’t enough.</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Looks like I need to introduce introspection in the Introductory section. First naive suggestion: just hat-tip to humans’ ability and assume that it’s important.</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Next suggestion: list explicit reasons why meta-cognition is useful.</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Next suggestion: at this point, it could be any kind of model (eg: about body, or env). So should talk about “inferences” rather than introspection. Need to explain why different kinds of inferences are useful. And use that to lead into introspection.</w:t>
      </w:r>
    </w:p>
  </w:comment>
  <w:comment w:id="15" w:author="Unknown Author" w:date="2022-04-23T16:22:12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if possible, please cite some peer-reviewed article instead of the Wikipedia page</w:t>
      </w:r>
    </w:p>
  </w:comment>
  <w:comment w:id="16" w:author="Unknown Author" w:date="2022-04-21T19:21:56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not the first place this word is used, so shouldn’t be italics</w:t>
      </w:r>
    </w:p>
  </w:comment>
  <w:comment w:id="17" w:author="Unknown Author" w:date="2022-04-21T18:50:3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this is where I missed the point about composability of the sub-parts of the model – ie: in a hierarchical bayesian network. It’s here that you get meaningful variation of inferences being possible.</w:t>
      </w:r>
    </w:p>
  </w:comment>
  <w:comment w:id="18" w:author="Unknown Author" w:date="2022-04-21T18:52:1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probably better rephrased as “Note that it is not necessarily the case that all aspects of a model become introspectible. For example….….”</w:t>
      </w:r>
    </w:p>
  </w:comment>
  <w:comment w:id="19" w:author="Unknown Author" w:date="2022-04-21T18:56:2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some examples of why introspection might be needed. But needs a stronger argument given how much my paper rides on it.</w:t>
      </w:r>
    </w:p>
  </w:comment>
  <w:comment w:id="20" w:author="Unknown Author" w:date="2022-04-23T16:22:4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It is not clear what the Visceral Loop (VL) is. Furthermore, is not clear what ‘experience consciousness in a visceral way’ means. Please use literature as reference to explain.</w:t>
      </w:r>
    </w:p>
  </w:comment>
  <w:comment w:id="21" w:author="Unknown Author" w:date="2022-04-23T16:57:1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Rev3: [the VL idea] becomes fuzzy with the suggestion that the second tier already endows the agent with a theory of mind and a concept of its own identity (line 198).</w:t>
      </w:r>
    </w:p>
  </w:comment>
  <w:comment w:id="22" w:author="Unknown Author" w:date="2022-04-21T19:25:2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Me: perhaps don’t need to define consciousness if I just focus on the system’s ability for meta-management.</w:t>
      </w:r>
    </w:p>
  </w:comment>
  <w:comment w:id="23" w:author="Unknown Author" w:date="2022-04-23T16:31: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please insert the page of this reference of Block (1995).</w:t>
      </w:r>
    </w:p>
  </w:comment>
  <w:comment w:id="24" w:author="Unknown Author" w:date="2022-04-23T16:31:42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Please specify why. Otherwise, it is not clear why, although consciousness is described in two forms, these are defined by the same mechanism.</w:t>
      </w:r>
    </w:p>
  </w:comment>
  <w:comment w:id="26" w:author="Unknown Author" w:date="2022-04-23T16:32:3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is not clear what “data content” is. Please check and expand this definition.</w:t>
      </w:r>
    </w:p>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=&gt; If I change to talk about ‘perceptual awareness’ then it will be easier to refer to that rather than A-Cs and P-Cs as reference.</w:t>
      </w:r>
    </w:p>
  </w:comment>
  <w:comment w:id="25" w:author="Unknown Author" w:date="2022-04-23T16:34:3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it appears that the visual objects in the visual field are not related to P-C and that the pain is not related to A-C. If this was the intention, besides sounding odd, it is not clear why. Please explain better.</w:t>
      </w:r>
    </w:p>
  </w:comment>
  <w:comment w:id="27" w:author="Unknown Author" w:date="2022-04-23T16:38:5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again, sounds like meta-awareness. This construct is not introduced. Previously you talked about P-C, that is the phenomenological experience in the sensory domain (both visual or somaesthetic), and A-C, that is the limited part of the P-C’s information, that is cognitively accessed and used for report, reasoning, or action.</w:t>
      </w:r>
    </w:p>
  </w:comment>
  <w:comment w:id="28" w:author="Unknown Author" w:date="2022-04-23T16:40:15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Sessions 6.2 and 7.2 on General Artificial Intelligence appear a bit confusing. Furthermore, these parts could be the focus of a separate article, where these interesting topics could be explored more extensively.</w:t>
      </w:r>
    </w:p>
  </w:comment>
  <w:comment w:id="29" w:author="Unknown Author" w:date="2022-04-23T16:51:28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Rev2: This is a highly contentious statement, if only because the notion 'computational' is not all described here. </w:t>
      </w:r>
    </w:p>
  </w:comment>
  <w:comment w:id="30" w:author="Unknown Author" w:date="2022-04-23T16:52:2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Rev2: The deduction from claim 1 "all of conscious experience must be available for producing subsequent inferences about those conscious experiences.' (lines 295-296) is invalid. This statement is much stronger than claim 1. For example, the assumption that "all conscious experience is subsequently available for further thought" (claim 1) does not logically imply "must be available for producing subsequent inferences about those conscious experiences", if only because having a thought does not imply that it is also used for "inferences about those conscious experiences". Again, this is just a mere assumption.</w:t>
      </w:r>
    </w:p>
  </w:comment>
  <w:comment w:id="31" w:author="Unknown Author" w:date="2022-04-23T16:52:53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Rev2: Similar for the deduction in line 297: this does not follow from claim 2, if only because there is a difference between "can identify" and "must be able to identify that they produced those inferences". This is a much stronger proposition, not warranted by "can identify".</w:t>
      </w:r>
    </w:p>
  </w:comment>
  <w:comment w:id="32" w:author="Unknown Author" w:date="2022-04-23T16:39:2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cite correctly according to APA.</w:t>
      </w:r>
    </w:p>
  </w:comment>
  <w:comment w:id="33" w:author="Unknown Author" w:date="2022-04-23T16:40:4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Sessions 6.2 and 7.2 [sic] on General Artificial Intelligence appear a bit confusing. Furthermore, these parts could be the focus of a separate article, where these interesting topics could be explored more extensively.</w:t>
      </w:r>
    </w:p>
  </w:comment>
  <w:comment w:id="34" w:author="Unknown Author" w:date="2022-04-23T16:41:1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Rev1:  the author stated that the VL is similar to the IIT. However, the IIT is not introduced in detail. Consider describing IIT in a previous part.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4" wp14:anchorId="51D4B8BD">
              <wp:simplePos x="0" y="0"/>
              <wp:positionH relativeFrom="margin">
                <wp:align>right</wp:align>
              </wp:positionH>
              <wp:positionV relativeFrom="paragraph">
                <wp:posOffset>635</wp:posOffset>
              </wp:positionV>
              <wp:extent cx="1515110" cy="342265"/>
              <wp:effectExtent l="0" t="0" r="0" b="0"/>
              <wp:wrapNone/>
              <wp:docPr id="26" name="Text Box 1"/>
              <a:graphic xmlns:a="http://schemas.openxmlformats.org/drawingml/2006/main">
                <a:graphicData uri="http://schemas.microsoft.com/office/word/2010/wordprocessingShape">
                  <wps:wsp>
                    <wps:cNvSpPr/>
                    <wps:spPr>
                      <a:xfrm>
                        <a:off x="0" y="0"/>
                        <a:ext cx="15145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55pt;margin-top:0.05pt;width:119.2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18</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52" wp14:anchorId="31D8D0F9">
              <wp:simplePos x="0" y="0"/>
              <wp:positionH relativeFrom="column">
                <wp:posOffset>-108585</wp:posOffset>
              </wp:positionH>
              <wp:positionV relativeFrom="paragraph">
                <wp:posOffset>-48895</wp:posOffset>
              </wp:positionV>
              <wp:extent cx="3678555" cy="342265"/>
              <wp:effectExtent l="0" t="0" r="4445" b="0"/>
              <wp:wrapNone/>
              <wp:docPr id="28" name="Text Box 2"/>
              <a:graphic xmlns:a="http://schemas.openxmlformats.org/drawingml/2006/main">
                <a:graphicData uri="http://schemas.microsoft.com/office/word/2010/wordprocessingShape">
                  <wps:wsp>
                    <wps:cNvSpPr/>
                    <wps:spPr>
                      <a:xfrm>
                        <a:off x="0" y="0"/>
                        <a:ext cx="36777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55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5110" cy="342265"/>
              <wp:effectExtent l="0" t="0" r="0" b="0"/>
              <wp:wrapNone/>
              <wp:docPr id="30" name="Text Box 56"/>
              <a:graphic xmlns:a="http://schemas.openxmlformats.org/drawingml/2006/main">
                <a:graphicData uri="http://schemas.microsoft.com/office/word/2010/wordprocessingShape">
                  <wps:wsp>
                    <wps:cNvSpPr/>
                    <wps:spPr>
                      <a:xfrm>
                        <a:off x="0" y="0"/>
                        <a:ext cx="15145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55pt;margin-top:0.05pt;width:119.2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1155</TotalTime>
  <Application>LibreOffice/7.2.4.1$Windows_X86_64 LibreOffice_project/27d75539669ac387bb498e35313b970b7fe9c4f9</Application>
  <AppVersion>15.0000</AppVersion>
  <Pages>18</Pages>
  <Words>7632</Words>
  <Characters>41245</Characters>
  <CharactersWithSpaces>48674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2022-04-23T18:50:57Z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