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Microsoft 365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4A7A"/>
          <w:sz w:val="64"/>
          <w:szCs w:val="64"/>
        </w:rPr>
        <w:t xml:space="preserve">Health Assessment</w:t>
      </w:r>
    </w:p>
    <w:p>
      <w:pPr>
        <w:pBdr>
          <w:bottom w:val="single" w:color="1B2A4A" w:sz="12" w:space="1"/>
        </w:pBdr>
        <w:spacing w:after="480" w:before="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5568"/>
          <w:sz w:val="48"/>
          <w:szCs w:val="48"/>
        </w:rPr>
        <w:t xml:space="preserve">Contoso Ltd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95057"/>
          <w:sz w:val="24"/>
          <w:szCs w:val="24"/>
        </w:rPr>
        <w:t xml:space="preserve">2026-04-23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95057"/>
          <w:sz w:val="22"/>
          <w:szCs w:val="22"/>
        </w:rPr>
        <w:t xml:space="preserve">Assessment conducted by [Consultant Name]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2"/>
          <w:szCs w:val="22"/>
        </w:rPr>
        <w:t xml:space="preserve">IT Infrastructure Consultant</w:t>
      </w:r>
    </w:p>
    <w:p>
      <w:pPr>
        <w:spacing w:after="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4A7A"/>
          <w:sz w:val="22"/>
          <w:szCs w:val="22"/>
        </w:rPr>
        <w:t xml:space="preserve">[Email]</w:t>
      </w:r>
    </w:p>
    <w:p>
      <w:pPr>
        <w:spacing w:after="240" w:before="0"/>
      </w:pPr>
      <w:r>
        <w:t xml:space="preserve"/>
      </w:r>
    </w:p>
    <w:p>
      <w:pPr>
        <w:pBdr>
          <w:top w:val="single" w:color="DEE2E6" w:sz="4" w:space="6"/>
          <w:bottom w:val="single" w:color="DEE2E6" w:sz="4" w:space="6"/>
        </w:pBdr>
        <w:spacing w:after="120" w:before="12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CONFIDENTIAL - For authorised recipients only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2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6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This report presents the findings of a Microsoft 365 health assessment carried out for </w:t>
      </w: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Contoso Ltd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. The assessment covered 6 workloads including identity and access management, security configuration, email security, collaboration tools, device management, and licensing.</w:t>
      </w:r>
    </w:p>
    <w:p>
      <w:pPr>
        <w:spacing w:after="160" w:before="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The overall score for this tenant is </w:t>
      </w: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42 out of 100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, indicating significant security risks that require urgent attention. A total of </w:t>
      </w: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15 findings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 were identified across all workloads assessed.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0392B" w:sz="8"/>
              <w:left w:val="none" w:color="FFFFFF" w:sz="0"/>
              <w:bottom w:val="single" w:color="C0392B" w:sz="4"/>
              <w:right w:val="none" w:color="FFFFFF" w:sz="0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64"/>
                <w:szCs w:val="64"/>
              </w:rPr>
              <w:t xml:space="preserve">4</w:t>
            </w:r>
          </w:p>
        </w:tc>
        <w:tc>
          <w:tcPr>
            <w:tcW w:type="dxa" w:w="2340"/>
            <w:tcBorders>
              <w:top w:val="single" w:color="D35400" w:sz="8"/>
              <w:left w:val="none" w:color="FFFFFF" w:sz="0"/>
              <w:bottom w:val="single" w:color="D35400" w:sz="4"/>
              <w:right w:val="none" w:color="FFFFFF" w:sz="0"/>
            </w:tcBorders>
            <w:shd w:fill="FEF0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64"/>
                <w:szCs w:val="64"/>
              </w:rPr>
              <w:t xml:space="preserve">6</w:t>
            </w:r>
          </w:p>
        </w:tc>
        <w:tc>
          <w:tcPr>
            <w:tcW w:type="dxa" w:w="2340"/>
            <w:tcBorders>
              <w:top w:val="single" w:color="D4AC0D" w:sz="8"/>
              <w:left w:val="none" w:color="FFFFFF" w:sz="0"/>
              <w:bottom w:val="single" w:color="D4AC0D" w:sz="4"/>
              <w:right w:val="none" w:color="FFFFFF" w:sz="0"/>
            </w:tcBorders>
            <w:shd w:fill="FEFA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64"/>
                <w:szCs w:val="64"/>
              </w:rPr>
              <w:t xml:space="preserve">5</w:t>
            </w:r>
          </w:p>
        </w:tc>
        <w:tc>
          <w:tcPr>
            <w:tcW w:type="dxa" w:w="2340"/>
            <w:tcBorders>
              <w:top w:val="single" w:color="27AE60" w:sz="8"/>
              <w:left w:val="none" w:color="FFFFFF" w:sz="0"/>
              <w:bottom w:val="single" w:color="27AE60" w:sz="4"/>
              <w:right w:val="none" w:color="FFFFFF" w:sz="0"/>
            </w:tcBorders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64"/>
                <w:szCs w:val="64"/>
              </w:rPr>
              <w:t xml:space="preserve">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Key Risks Requiring Immediate Attention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No Conditional Access Policies Enabled 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No enabled Conditional Access policies were found. Access to M365 resources is not context-aware and cannot enforce MFA, compliant devices, or location restrictions.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Legacy Authentication Not Blocked 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Legacy authentication protocols are not blocked. These protocols bypass MFA and are a primary vector in password spray and credential stuffing attacks.</w:t>
      </w:r>
    </w:p>
    <w:p>
      <w:pPr>
        <w:pStyle w:val="ListParagraph"/>
        <w:numPr>
          <w:ilvl w:val="0"/>
          <w:numId w:val="2"/>
        </w:numPr>
        <w:spacing w:after="80" w:before="80" w:line="300"/>
      </w:pPr>
      <w:r>
        <w:rPr>
          <w:rFonts w:ascii="Arial" w:cs="Arial" w:eastAsia="Arial" w:hAnsi="Arial"/>
          <w:b/>
          <w:bCs/>
          <w:i w:val="false"/>
          <w:iCs w:val="false"/>
          <w:color w:val="212529"/>
          <w:sz w:val="22"/>
          <w:szCs w:val="22"/>
        </w:rPr>
        <w:t xml:space="preserve">SharePoint Sharing Set to Anyone 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SharePoint and OneDrive external sharing is set to Anyone, allowing unauthenticated link sharing. Files can be shared with anyone on the internet without sign-in.</w:t>
      </w:r>
    </w:p>
    <w:p>
      <w:pPr>
        <w:spacing w:after="120" w:before="0"/>
      </w:pPr>
      <w:r>
        <w:t xml:space="preserve"/>
      </w:r>
    </w:p>
    <w:p>
      <w:pPr>
        <w:pBdr>
          <w:left w:val="single" w:color="2E4A7A" w:sz="16" w:space="8"/>
        </w:pBdr>
        <w:spacing w:after="100" w:before="240"/>
        <w:ind w:left="200"/>
      </w:pPr>
      <w:r>
        <w:rPr>
          <w:rFonts w:ascii="Arial" w:cs="Arial" w:eastAsia="Arial" w:hAnsi="Arial"/>
          <w:b/>
          <w:bCs/>
          <w:color w:val="2E4A7A"/>
          <w:sz w:val="22"/>
          <w:szCs w:val="22"/>
        </w:rPr>
        <w:t xml:space="preserve">Beyond Microsoft Secure Score</w:t>
      </w:r>
    </w:p>
    <w:p>
      <w:pPr>
        <w:spacing w:after="100" w:before="80" w:line="300"/>
        <w:ind w:left="200"/>
      </w:pPr>
      <w:r>
        <w:rPr>
          <w:rFonts w:ascii="Arial" w:cs="Arial" w:eastAsia="Arial" w:hAnsi="Arial"/>
          <w:color w:val="212529"/>
          <w:sz w:val="22"/>
          <w:szCs w:val="22"/>
        </w:rPr>
        <w:t xml:space="preserve">Microsoft Secure Score measures configuration compliance - whether recommended settings are turned on. It does not evaluate whether those settings protect against real-world attack paths. A tenant can achieve a high Secure Score and still be vulnerable to business email compromise, OAuth app abuse, and lateral movement.</w:t>
      </w:r>
    </w:p>
    <w:p>
      <w:pPr>
        <w:spacing w:after="120" w:before="0" w:line="300"/>
        <w:ind w:left="200"/>
      </w:pPr>
      <w:r>
        <w:rPr>
          <w:rFonts w:ascii="Arial" w:cs="Arial" w:eastAsia="Arial" w:hAnsi="Arial"/>
          <w:b w:val="false"/>
          <w:bCs w:val="false"/>
          <w:color w:val="212529"/>
          <w:sz w:val="22"/>
          <w:szCs w:val="22"/>
        </w:rPr>
        <w:t xml:space="preserve">This assessment goes beyond Secure Score by evaluating real attack paths - not just configuration checkboxes. Each finding in this report represents a genuine risk that an attacker could exploit, regardless of what your Secure Score shows.</w:t>
      </w:r>
    </w:p>
    <w:p>
      <w:pPr>
        <w:spacing w:after="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Detailed findings, technical context, and prioritised recommendations are provided in the sections that follow. A full metrics appendix is included at the end of this report.</w:t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2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Overall Score</w:t>
      </w:r>
    </w:p>
    <w:p>
      <w:pPr>
        <w:spacing w:after="20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The tenant score is calculated from the assessment findings. Each finding reduces the score based on its severity: Critical (-15), High (-10), Medium (-5), Low (-2).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6"/>
              <w:left w:val="single" w:color="C0392B" w:sz="16"/>
              <w:bottom w:val="single" w:color="C0392B" w:sz="16"/>
              <w:right w:val="single" w:color="C0392B" w:sz="16"/>
            </w:tcBorders>
            <w:shd w:fill="FDECEA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96"/>
                <w:szCs w:val="96"/>
              </w:rPr>
              <w:t xml:space="preserve">42</w:t>
            </w:r>
            <w:r>
              <w:rPr>
                <w:rFonts w:ascii="Arial" w:cs="Arial" w:eastAsia="Arial" w:hAnsi="Arial"/>
                <w:color w:val="C0392B"/>
                <w:sz w:val="48"/>
                <w:szCs w:val="48"/>
              </w:rPr>
              <w:t xml:space="preserve"> / 100  </w:t>
            </w: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40"/>
                <w:szCs w:val="40"/>
              </w:rPr>
              <w:t xml:space="preserve">- At Risk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Critical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High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Medium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0392B" w:sz="8"/>
              <w:left w:val="none" w:color="FFFFFF" w:sz="0"/>
              <w:bottom w:val="single" w:color="C0392B" w:sz="4"/>
              <w:right w:val="none" w:color="FFFFFF" w:sz="0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64"/>
                <w:szCs w:val="64"/>
              </w:rPr>
              <w:t xml:space="preserve">4</w:t>
            </w:r>
          </w:p>
        </w:tc>
        <w:tc>
          <w:tcPr>
            <w:tcW w:type="dxa" w:w="2340"/>
            <w:tcBorders>
              <w:top w:val="single" w:color="D35400" w:sz="8"/>
              <w:left w:val="none" w:color="FFFFFF" w:sz="0"/>
              <w:bottom w:val="single" w:color="D35400" w:sz="4"/>
              <w:right w:val="none" w:color="FFFFFF" w:sz="0"/>
            </w:tcBorders>
            <w:shd w:fill="FEF0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64"/>
                <w:szCs w:val="64"/>
              </w:rPr>
              <w:t xml:space="preserve">6</w:t>
            </w:r>
          </w:p>
        </w:tc>
        <w:tc>
          <w:tcPr>
            <w:tcW w:type="dxa" w:w="2340"/>
            <w:tcBorders>
              <w:top w:val="single" w:color="D4AC0D" w:sz="8"/>
              <w:left w:val="none" w:color="FFFFFF" w:sz="0"/>
              <w:bottom w:val="single" w:color="D4AC0D" w:sz="4"/>
              <w:right w:val="none" w:color="FFFFFF" w:sz="0"/>
            </w:tcBorders>
            <w:shd w:fill="FEFA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64"/>
                <w:szCs w:val="64"/>
              </w:rPr>
              <w:t xml:space="preserve">5</w:t>
            </w:r>
          </w:p>
        </w:tc>
        <w:tc>
          <w:tcPr>
            <w:tcW w:type="dxa" w:w="2340"/>
            <w:tcBorders>
              <w:top w:val="single" w:color="27AE60" w:sz="8"/>
              <w:left w:val="none" w:color="FFFFFF" w:sz="0"/>
              <w:bottom w:val="single" w:color="27AE60" w:sz="4"/>
              <w:right w:val="none" w:color="FFFFFF" w:sz="0"/>
            </w:tcBorders>
            <w:shd w:fill="EAF7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64"/>
                <w:szCs w:val="64"/>
              </w:rPr>
              <w:t xml:space="preserve">0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Rating</w:t>
            </w:r>
          </w:p>
        </w:tc>
        <w:tc>
          <w:tcPr>
            <w:tcW w:type="dxa" w:w="4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70 - 100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EAF7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2"/>
                <w:szCs w:val="22"/>
              </w:rPr>
              <w:t xml:space="preserve">Good</w:t>
            </w:r>
          </w:p>
        </w:tc>
        <w:tc>
          <w:tcPr>
            <w:tcW w:type="dxa" w:w="4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Tenant is well-configured. Some improvements may still be beneficial.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2"/>
                <w:szCs w:val="22"/>
              </w:rPr>
              <w:t xml:space="preserve">50 - 69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C0D"/>
                <w:sz w:val="22"/>
                <w:szCs w:val="22"/>
              </w:rPr>
              <w:t xml:space="preserve">Needs Attention</w:t>
            </w:r>
          </w:p>
        </w:tc>
        <w:tc>
          <w:tcPr>
            <w:tcW w:type="dxa" w:w="4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Notable gaps exist. A remediation plan should be agreed and acted on.</w:t>
            </w:r>
          </w:p>
        </w:tc>
      </w:tr>
      <w:tr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0 - 49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At Risk</w:t>
            </w:r>
          </w:p>
        </w:tc>
        <w:tc>
          <w:tcPr>
            <w:tcW w:type="dxa" w:w="4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Significant security risks are present. Immediate action is required.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2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Findings</w:t>
      </w:r>
    </w:p>
    <w:p>
      <w:pPr>
        <w:pBdr>
          <w:bottom w:val="single" w:color="C0392B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CRITICAL  (4)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CA-001</w:t>
            </w:r>
          </w:p>
        </w:tc>
        <w:tc>
          <w:tcPr>
            <w:tcW w:type="dxa" w:w="75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No Conditional Access Policies Enabled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Security  |  Observed value: 0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No enabled Conditional Access policies were found. Access to M365 resources is not context-aware and cannot enforce MFA, compliant devices, or location restrictions.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Deploy a baseline set of Conditional Access policies covering MFA for all users, MFA for admins, block legacy authentication, and require compliant devices.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CA-002</w:t>
            </w:r>
          </w:p>
        </w:tc>
        <w:tc>
          <w:tcPr>
            <w:tcW w:type="dxa" w:w="75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Legacy Authentication Not Blocked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Security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Legacy authentication protocols are not blocked. These protocols bypass MFA and are a primary vector in password spray and credential stuffing attacks.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Create a Conditional Access policy to block all legacy authentication. Audit any applications or workflows that rely on legacy auth before enforcing.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SPO-001</w:t>
            </w:r>
          </w:p>
        </w:tc>
        <w:tc>
          <w:tcPr>
            <w:tcW w:type="dxa" w:w="75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SharePoint Sharing Set to Anyone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Sharepoint  |  Observed value: ExternalUserAndGuestSharing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SharePoint and OneDrive external sharing is set to Anyone, allowing unauthenticated link sharing. Files can be shared with anyone on the internet without sign-in.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Restrict external sharing to New and existing guests at minimum. Review and tighten sharing settings per site collection where appropriate.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CRITICAL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ID-001</w:t>
            </w:r>
          </w:p>
        </w:tc>
        <w:tc>
          <w:tcPr>
            <w:tcW w:type="dxa" w:w="7560"/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Low MFA Coverage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Identity  |  Observed value: 78%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Fewer than 95% of licensed users have MFA registered. This significantly increases account compromise risk via phishing or credential stuffing.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Enable MFA for all users via Conditional Access. Consider enabling Security Defaults if no CA policies are currently in place.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35400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HIGH  (6)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EXO-001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Auto-Forwarding to External Recipients Allowed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Exchange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Automatic email forwarding to external recipients is not blocked. This is a common data exfiltration technique used following account compromise.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Block external auto-forwarding via the outbound spam filter policy or a mail flow transport rule.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EXO-002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Mailbox Auditing Not Fully Enabled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Exchange  |  Observed value: 64%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Mailbox auditing is not enabled across all mailboxes. Without audit logs, it is not possible to investigate suspicious activity or data access.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Enable organisation-wide mailbox auditing using Set-OrganizationConfig -AuditDisabled $false.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ID-002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Excessive Global Administrators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Identity  |  Observed value: 7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Seven Global Administrators were found. Global Admin is the highest-privilege role in M365 and should be assigned to a maximum of 2-3 break-glass accounts.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Reduce Global Admins to 2-3 emergency-access accounts. Assign least-privilege roles such as Exchange Admin or SharePoint Admin for day-to-day tasks.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MDM-001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Low Device Compliance Rate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Intune  |  Observed value: 61%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Fewer than 80% of managed devices are compliant with Intune compliance policies. Non-compliant devices may lack encryption, current OS patches, or required security configuration.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Review non-compliant devices in the Intune portal. Identify common compliance failures and remediate. Consider blocking non-compliant device access to M365 via Conditional Access.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ID-003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No Privileged Identity Management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Identity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Privileged Identity Management is not in use. All admin role assignments are permanent, increasing the risk of privilege abuse or account compromise.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Enable Microsoft Entra PIM and convert permanent admin role assignments to eligible just-in-time assignments.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HIGH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MDM-002</w:t>
            </w:r>
          </w:p>
        </w:tc>
        <w:tc>
          <w:tcPr>
            <w:tcW w:type="dxa" w:w="7560"/>
            <w:tcBorders>
              <w:top w:val="none" w:color="FFFFFF" w:sz="0"/>
              <w:left w:val="single" w:color="D35400" w:sz="16"/>
              <w:bottom w:val="none" w:color="FFFFFF" w:sz="0"/>
              <w:right w:val="none" w:color="FFFFFF" w:sz="0"/>
            </w:tcBorders>
            <w:shd w:fill="FEF0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No Intune Compliance Policies Configured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Intune  |  Observed value: 0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No device compliance policies are configured in Intune. Without compliance policies, devices cannot be evaluated or blocked from accessing M365 resources.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Create compliance policies for each managed device platform covering minimum OS version, encryption, and antivirus requirements.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D4AC0D" w:sz="8" w:space="4"/>
        </w:pBdr>
        <w:spacing w:after="160" w:before="240"/>
      </w:pPr>
      <w:r>
        <w:rPr>
          <w:rFonts w:ascii="Arial" w:cs="Arial" w:eastAsia="Arial" w:hAnsi="Arial"/>
          <w:b/>
          <w:bCs/>
          <w:color w:val="D4AC0D"/>
          <w:sz w:val="28"/>
          <w:szCs w:val="28"/>
        </w:rPr>
        <w:t xml:space="preserve">MEDIUM 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TEAMS-001</w:t>
            </w:r>
          </w:p>
        </w:tc>
        <w:tc>
          <w:tcPr>
            <w:tcW w:type="dxa" w:w="7560"/>
            <w:tcBorders>
              <w:top w:val="none" w:color="FFFFFF" w:sz="0"/>
              <w:left w:val="single" w:color="D4AC0D" w:sz="16"/>
              <w:bottom w:val="none" w:color="FFFFFF" w:sz="0"/>
              <w:right w:val="none" w:color="FFFFFF" w:sz="0"/>
            </w:tcBorders>
            <w:shd w:fill="FEFA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Teams External Access Not Restricted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Teams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Teams external access is open to all domains. Users can communicate with any external Teams tenant, increasing the risk of phishing or data leakage.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Restrict Teams external access to approved domains only, or disable federation if not required for business operations.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ID-004</w:t>
            </w:r>
          </w:p>
        </w:tc>
        <w:tc>
          <w:tcPr>
            <w:tcW w:type="dxa" w:w="7560"/>
            <w:tcBorders>
              <w:top w:val="none" w:color="FFFFFF" w:sz="0"/>
              <w:left w:val="single" w:color="D4AC0D" w:sz="16"/>
              <w:bottom w:val="none" w:color="FFFFFF" w:sz="0"/>
              <w:right w:val="none" w:color="FFFFFF" w:sz="0"/>
            </w:tcBorders>
            <w:shd w:fill="FEFA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High Number of Guest Accounts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Identity  |  Observed value: 87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 large number of guest accounts exist in the tenant. Unreviewed guests may retain access to data long after a project or relationship has ended.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Implement an Entra ID access review policy for guest accounts. Remove guests who no longer require access.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EXO-003</w:t>
            </w:r>
          </w:p>
        </w:tc>
        <w:tc>
          <w:tcPr>
            <w:tcW w:type="dxa" w:w="7560"/>
            <w:tcBorders>
              <w:top w:val="none" w:color="FFFFFF" w:sz="0"/>
              <w:left w:val="single" w:color="D4AC0D" w:sz="16"/>
              <w:bottom w:val="none" w:color="FFFFFF" w:sz="0"/>
              <w:right w:val="none" w:color="FFFFFF" w:sz="0"/>
            </w:tcBorders>
            <w:shd w:fill="FEFA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Anti-Phishing Intelligence Not Enabled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Exchange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Mailbox intelligence in the anti-phishing policy is not enabled, reducing protection against targeted impersonation attacks.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Enable mailbox intelligence and impersonation protection in the Defender for Office 365 anti-phishing policy.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ID-005</w:t>
            </w:r>
          </w:p>
        </w:tc>
        <w:tc>
          <w:tcPr>
            <w:tcW w:type="dxa" w:w="7560"/>
            <w:tcBorders>
              <w:top w:val="none" w:color="FFFFFF" w:sz="0"/>
              <w:left w:val="single" w:color="D4AC0D" w:sz="16"/>
              <w:bottom w:val="none" w:color="FFFFFF" w:sz="0"/>
              <w:right w:val="none" w:color="FFFFFF" w:sz="0"/>
            </w:tcBorders>
            <w:shd w:fill="FEFA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High Number of Unused Licences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Identity  |  Observed value: 26%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26% of purchased licences are unassigned, representing unnecessary recurring cost.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Audit unassigned licences and remove from the subscription where no longer required. Review licence assignment processes.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AC0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MEDIUM</w:t>
            </w:r>
          </w:p>
          <w:p>
            <w:pPr>
              <w:spacing w:after="6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TEAMS-002</w:t>
            </w:r>
          </w:p>
        </w:tc>
        <w:tc>
          <w:tcPr>
            <w:tcW w:type="dxa" w:w="7560"/>
            <w:tcBorders>
              <w:top w:val="none" w:color="FFFFFF" w:sz="0"/>
              <w:left w:val="single" w:color="D4AC0D" w:sz="16"/>
              <w:bottom w:val="none" w:color="FFFFFF" w:sz="0"/>
              <w:right w:val="none" w:color="FFFFFF" w:sz="0"/>
            </w:tcBorders>
            <w:shd w:fill="FEFAE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6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6"/>
                <w:szCs w:val="26"/>
              </w:rPr>
              <w:t xml:space="preserve">Teams Consumer Access Enabled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Module: Teams  |  Observed value: false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1F3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19"/>
                <w:szCs w:val="19"/>
              </w:rPr>
              <w:t xml:space="preserve">What this means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Users can communicate with Teams personal and consumer accounts, increasing data leakage risk.</w:t>
            </w:r>
          </w:p>
        </w:tc>
      </w:tr>
      <w:tr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4A7A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5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2"/>
                <w:szCs w:val="22"/>
              </w:rPr>
              <w:t xml:space="preserve">Disable Teams consumer access unless there is a specific approved business requirement.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1B2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Recommendations</w:t>
      </w:r>
    </w:p>
    <w:p>
      <w:pPr>
        <w:spacing w:after="20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The table below summarises all findings in priority order with recommended actions. Items marked Low effort can typically be resolved within a single working session. Medium effort items may require planning or change management approval.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100"/>
        <w:gridCol w:w="900"/>
        <w:gridCol w:w="4760"/>
      </w:tblGrid>
      <w:tr>
        <w:trPr>
          <w:tblHeader/>
        </w:trP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No Conditional Access Policies Enabled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Deploy a baseline set of Conditional Access policies covering MFA for all users, MFA for admins, block legacy authentication, and require compliant devices.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Legacy Authentication Not Blocked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Create a Conditional Access policy to block all legacy authentication. Audit any applications or workflows that rely on legacy auth before enforcing.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SharePoint Sharing Set to Anyone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Restrict external sharing to New and existing guests at minimum. Review and tighten sharing settings per site collection where appropriate.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Low MFA Coverage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Enable MFA for all users via Conditional Access. Consider enabling Security Defaults if no CA policies are currently in place.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Auto-Forwarding to External Recipients Allowed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Block external auto-forwarding via the outbound spam filter policy or a mail flow transport rule.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Mailbox Auditing Not Fully Enabled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Enable organisation-wide mailbox auditing using Set-OrganizationConfig -AuditDisabled $false.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Excessive Global Administrators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Reduce Global Admins to 2-3 emergency-access accounts. Assign least-privilege roles such as Exchange Admin or SharePoint Admin for day-to-day tasks.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Low Device Compliance Rate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Review non-compliant devices in the Intune portal. Identify common compliance failures and remediate. Consider blocking non-compliant device access to M365 via Conditional Access.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No Privileged Identity Management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Enable Microsoft Entra PIM and convert permanent admin role assignments to eligible just-in-time assignments.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No Intune Compliance Policies Configured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0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Create compliance policies for each managed device platform covering minimum OS version, encryption, and antivirus requirements.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Teams External Access Not Restricted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Restrict Teams external access to approved domains only, or disable federation if not required for business operations.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High Number of Guest Accounts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Implement an Entra ID access review policy for guest accounts. Remove guests who no longer require access.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Anti-Phishing Intelligence Not Enabled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Enable mailbox intelligence and impersonation protection in the Defender for Office 365 anti-phishing policy.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High Number of Unused Licences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Audit unassigned licences and remove from the subscription where no longer required. Review licence assignment processes.</w:t>
            </w:r>
          </w:p>
        </w:tc>
      </w:tr>
      <w:tr>
        <w:tc>
          <w:tcPr>
            <w:tcW w:type="dxa" w:w="4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5568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Teams Consumer Access Enabled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95057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529"/>
                <w:sz w:val="20"/>
                <w:szCs w:val="20"/>
              </w:rPr>
              <w:t xml:space="preserve">Disable Teams consumer access unless there is a specific approved business requirement.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B2A4A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Appendix - Full Metrics Data</w:t>
      </w:r>
    </w:p>
    <w:p>
      <w:pPr>
        <w:spacing w:after="20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12529"/>
          <w:sz w:val="22"/>
          <w:szCs w:val="22"/>
        </w:rPr>
        <w:t xml:space="preserve">This appendix contains the raw metric values collected during the assessment. These values form the basis of the findings and scoring in the main report.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MFA Coverage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78%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Global Admins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7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PIM Enabled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Guest Users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87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EFA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Unused Licences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26%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Secure Score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44%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Security Defaults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CA Policies (enabled)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Legacy Auth Blocked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Fwd Block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Mailbox Audit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64%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Anti-Phish Intel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Teams Ext Restricted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Consumer Access Off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False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SPO Sharing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ExternalUserAndGuestSharing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Device Compliance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61%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4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Compliance Policies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529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Assessment completed: 2026-04-23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Authentication method: App Registration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Prepared by: M365 Assessment Toolkit  |  [consultant@email.com]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Arial" w:cs="Arial" w:eastAsia="Arial" w:hAnsi="Arial"/>
        <w:color w:val="4A5568"/>
        <w:sz w:val="16"/>
        <w:szCs w:val="16"/>
      </w:rPr>
      <w:t xml:space="preserve">M365 Assessment Toolkit  |  [consultant@email.com]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Arial" w:cs="Arial" w:eastAsia="Arial" w:hAnsi="Arial"/>
        <w:b w:val="false"/>
        <w:bCs w:val="false"/>
        <w:color w:val="4A5568"/>
        <w:sz w:val="18"/>
        <w:szCs w:val="18"/>
      </w:rPr>
      <w:t xml:space="preserve">Contoso Ltd  |  M365 Health Assessment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2026-05-05T09:59:20.881Z</dcterms:created>
  <dcterms:modified xsi:type="dcterms:W3CDTF">2026-05-05T09:59:20.882Z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