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(26-29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Pest 690, Vitest 210 (691 / 215 le 29/10).</w:t>
            </w:r>
          </w:p>
        </w:tc>
        <w:tc>
          <w:tcPr>
            <w:tcW w:type="dxa" w:w="1474"/>
          </w:tcPr>
          <w:p>
            <w:r/>
            <w:r>
              <w:rPr>
                <w:b w:val="0"/>
                <w:sz w:val="19"/>
              </w:rPr>
              <w:t>§7.6, §9.6</w:t>
            </w:r>
          </w:p>
        </w:tc>
      </w:tr>
      <w:tr>
        <w:tc>
          <w:tcPr>
            <w:tcW w:type="dxa" w:w="2041"/>
          </w:tcPr>
          <w:p>
            <w:r/>
            <w:r>
              <w:rPr>
                <w:b w:val="0"/>
                <w:sz w:val="19"/>
              </w:rPr>
              <w:t>Textes accentués (29/10)</w:t>
            </w:r>
          </w:p>
        </w:tc>
        <w:tc>
          <w:tcPr>
            <w:tcW w:type="dxa" w:w="6009"/>
          </w:tcPr>
          <w:p>
            <w:r/>
            <w:r>
              <w:rPr>
                <w:b w:val="0"/>
                <w:sz w:val="19"/>
              </w:rPr>
              <w:t>Douze écrans (pages 403, 404, 500, maintenance, connexion, mot de passe, utilisateurs, sauvegardes…) et six messages de l'API (« Agent créé avec succès. »…) rédigés sans accents (n° 48). Sur la page 404, une même icône tronquée pour les trois raccourcis et « Dashboard » en anglais (n° 49). pages-systeme.spec.ts.</w:t>
            </w:r>
          </w:p>
        </w:tc>
        <w:tc>
          <w:tcPr>
            <w:tcW w:type="dxa" w:w="1474"/>
          </w:tcPr>
          <w:p>
            <w:r/>
            <w:r>
              <w:rPr>
                <w:b w:val="0"/>
                <w:sz w:val="19"/>
              </w:rPr>
              <w:t>§3, §10</w:t>
            </w:r>
          </w:p>
        </w:tc>
      </w:tr>
      <w:tr>
        <w:tc>
          <w:tcPr>
            <w:tcW w:type="dxa" w:w="2041"/>
          </w:tcPr>
          <w:p>
            <w:r/>
            <w:r>
              <w:rPr>
                <w:b w:val="0"/>
                <w:sz w:val="19"/>
              </w:rPr>
              <w:t>Galerie et scénario (29/10)</w:t>
            </w:r>
          </w:p>
        </w:tc>
        <w:tc>
          <w:tcPr>
            <w:tcW w:type="dxa" w:w="6009"/>
          </w:tcPr>
          <w:p>
            <w:r/>
            <w:r>
              <w:rPr>
                <w:b w:val="0"/>
                <w:sz w:val="19"/>
              </w:rPr>
              <w:t>Galerie recapturée (46 écrans ; navigateur de capture en LANG=fr_FR.UTF-8, dates dd/mm/yyyy) ; scénario de démonstration rejoué sur l'API réelle, montants inchangés, étape A corrigée (indice ou salaire brut exigé, catégorie déduite).</w:t>
            </w:r>
          </w:p>
        </w:tc>
        <w:tc>
          <w:tcPr>
            <w:tcW w:type="dxa" w:w="1474"/>
          </w:tcPr>
          <w:p>
            <w:r/>
            <w:r>
              <w:rPr>
                <w:b w:val="0"/>
                <w:sz w:val="19"/>
              </w:rPr>
              <w:t>§10, §11</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3.5.44 stable (Composition API)</w:t>
            </w:r>
          </w:p>
        </w:tc>
        <w:tc>
          <w:tcPr>
            <w:tcW w:type="dxa" w:w="4649"/>
          </w:tcPr>
          <w:p>
            <w:r/>
            <w:r>
              <w:rPr>
                <w:b w:val="0"/>
                <w:sz w:val="19"/>
              </w:rPr>
              <w:t>Framework JavaScript principal — version épinglée (sortie de la 3.6 bêta le 29/10/2026)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 ; l'un des deux est exigé (422 sinon : « L'indice ou le salaire brut est requis pour déterminer la catégorie. »).</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versions exactes du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49) : code seul, aucune migration de plus.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691 tests au total (76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215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 Le 29/10, scénario complet rejoué de nouveau (MariaDB, base neuve, QUEUE_CONNECTION=sync) : état des avances 805 000, aperçus MTN 406 000 et Moov 399 000 ; refus vérifiés avec leur motif en français (agent en double, séparation des tâches, numéro manquant).</w:t>
      </w:r>
    </w:p>
    <w:p>
      <w:pPr>
        <w:pStyle w:val="ListBullet"/>
      </w:pPr>
      <w:r>
        <w:t>Défauts relevés par la revue d'octobre 2026 : 32, puis 17 de plus du 27 au 29/10 (n° 33 à 49, en confrontant la documentation au code et à l'interface),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11. État du projet et reste à faire (29/10/2026)</w:t>
      </w:r>
    </w:p>
    <w:p>
      <w:r>
        <w:rPr>
          <w:b w:val="0"/>
          <w:i w:val="0"/>
        </w:rPr>
        <w:t>Le développement est terminé : 49 défauts relevés par la revue d'octobre 2026 et la relecture des documents (n° 1 à 49), tous corrigés avec un test ; quatre décisions (D1 à D4) appliquées ; aucune décision en attente. Tous les documents sont confrontés au code (détail et cartographie : docs/revue-projet-2026-10.md §8).</w:t>
      </w:r>
    </w:p>
    <w:tbl>
      <w:tblPr>
        <w:tblStyle w:val="TableGrid"/>
        <w:tblW w:type="auto" w:w="0"/>
        <w:jc w:val="center"/>
        <w:tblLayout w:type="fixed"/>
        <w:tblLook w:firstColumn="1" w:firstRow="1" w:lastColumn="0" w:lastRow="0" w:noHBand="0" w:noVBand="1" w:val="04A0"/>
      </w:tblPr>
      <w:tblGrid>
        <w:gridCol w:w="2948"/>
        <w:gridCol w:w="6576"/>
      </w:tblGrid>
      <w:tr>
        <w:tc>
          <w:tcPr>
            <w:tcW w:type="dxa" w:w="2948"/>
            <w:shd w:val="clear" w:fill="1D9E4F"/>
          </w:tcPr>
          <w:p>
            <w:r/>
            <w:r>
              <w:rPr>
                <w:b/>
                <w:color w:val="FFFFFF"/>
                <w:sz w:val="20"/>
              </w:rPr>
              <w:t>Indicateur</w:t>
            </w:r>
          </w:p>
        </w:tc>
        <w:tc>
          <w:tcPr>
            <w:tcW w:type="dxa" w:w="6576"/>
            <w:shd w:val="clear" w:fill="1D9E4F"/>
          </w:tcPr>
          <w:p>
            <w:r/>
            <w:r>
              <w:rPr>
                <w:b/>
                <w:color w:val="FFFFFF"/>
                <w:sz w:val="20"/>
              </w:rPr>
              <w:t>Valeur au 29/10/2026</w:t>
            </w:r>
          </w:p>
        </w:tc>
      </w:tr>
      <w:tr>
        <w:tc>
          <w:tcPr>
            <w:tcW w:type="dxa" w:w="2948"/>
          </w:tcPr>
          <w:p>
            <w:r/>
            <w:r>
              <w:rPr>
                <w:b w:val="0"/>
                <w:sz w:val="19"/>
              </w:rPr>
              <w:t>Tests backend (Pest)</w:t>
            </w:r>
          </w:p>
        </w:tc>
        <w:tc>
          <w:tcPr>
            <w:tcW w:type="dxa" w:w="6576"/>
          </w:tcPr>
          <w:p>
            <w:r/>
            <w:r>
              <w:rPr>
                <w:b w:val="0"/>
                <w:sz w:val="19"/>
              </w:rPr>
              <w:t>691 tests, 76 fichiers — API complète sur SQLite, contrat OpenAPI vérifié</w:t>
            </w:r>
          </w:p>
        </w:tc>
      </w:tr>
      <w:tr>
        <w:tc>
          <w:tcPr>
            <w:tcW w:type="dxa" w:w="2948"/>
          </w:tcPr>
          <w:p>
            <w:r/>
            <w:r>
              <w:rPr>
                <w:b w:val="0"/>
                <w:sz w:val="19"/>
              </w:rPr>
              <w:t>Tests frontend (Vitest)</w:t>
            </w:r>
          </w:p>
        </w:tc>
        <w:tc>
          <w:tcPr>
            <w:tcW w:type="dxa" w:w="6576"/>
          </w:tcPr>
          <w:p>
            <w:r/>
            <w:r>
              <w:rPr>
                <w:b w:val="0"/>
                <w:sz w:val="19"/>
              </w:rPr>
              <w:t>215 tests, 42 fichiers — vues, services, stores, navigation ↔ permissions</w:t>
            </w:r>
          </w:p>
        </w:tc>
      </w:tr>
      <w:tr>
        <w:tc>
          <w:tcPr>
            <w:tcW w:type="dxa" w:w="2948"/>
          </w:tcPr>
          <w:p>
            <w:r/>
            <w:r>
              <w:rPr>
                <w:b w:val="0"/>
                <w:sz w:val="19"/>
              </w:rPr>
              <w:t>Tests de bout en bout (Playwright)</w:t>
            </w:r>
          </w:p>
        </w:tc>
        <w:tc>
          <w:tcPr>
            <w:tcW w:type="dxa" w:w="6576"/>
          </w:tcPr>
          <w:p>
            <w:r/>
            <w:r>
              <w:rPr>
                <w:b w:val="0"/>
                <w:sz w:val="19"/>
              </w:rPr>
              <w:t>3 parcours critiques</w:t>
            </w:r>
          </w:p>
        </w:tc>
      </w:tr>
      <w:tr>
        <w:tc>
          <w:tcPr>
            <w:tcW w:type="dxa" w:w="2948"/>
          </w:tcPr>
          <w:p>
            <w:r/>
            <w:r>
              <w:rPr>
                <w:b w:val="0"/>
                <w:sz w:val="19"/>
              </w:rPr>
              <w:t>Scénario de démonstration</w:t>
            </w:r>
          </w:p>
        </w:tc>
        <w:tc>
          <w:tcPr>
            <w:tcW w:type="dxa" w:w="6576"/>
          </w:tcPr>
          <w:p>
            <w:r/>
            <w:r>
              <w:rPr>
                <w:b w:val="0"/>
                <w:sz w:val="19"/>
              </w:rPr>
              <w:t>Rejoué sur l'API réelle le 29/10, montants et fichiers inchangés</w:t>
            </w:r>
          </w:p>
        </w:tc>
      </w:tr>
      <w:tr>
        <w:tc>
          <w:tcPr>
            <w:tcW w:type="dxa" w:w="2948"/>
          </w:tcPr>
          <w:p>
            <w:r/>
            <w:r>
              <w:rPr>
                <w:b w:val="0"/>
                <w:sz w:val="19"/>
              </w:rPr>
              <w:t>Galerie des écrans</w:t>
            </w:r>
          </w:p>
        </w:tc>
        <w:tc>
          <w:tcPr>
            <w:tcW w:type="dxa" w:w="6576"/>
          </w:tcPr>
          <w:p>
            <w:r/>
            <w:r>
              <w:rPr>
                <w:b w:val="0"/>
                <w:sz w:val="19"/>
              </w:rPr>
              <w:t>46 écrans recapturés le 29/10 ; 53 pages</w:t>
            </w:r>
          </w:p>
        </w:tc>
      </w:tr>
      <w:tr>
        <w:tc>
          <w:tcPr>
            <w:tcW w:type="dxa" w:w="2948"/>
          </w:tcPr>
          <w:p>
            <w:r/>
            <w:r>
              <w:rPr>
                <w:b w:val="0"/>
                <w:sz w:val="19"/>
              </w:rPr>
              <w:t>Migrations à jouer en 1.4</w:t>
            </w:r>
          </w:p>
        </w:tc>
        <w:tc>
          <w:tcPr>
            <w:tcW w:type="dxa" w:w="6576"/>
          </w:tcPr>
          <w:p>
            <w:r/>
            <w:r>
              <w:rPr>
                <w:b w:val="0"/>
                <w:sz w:val="19"/>
              </w:rPr>
              <w:t>Une seule (fuseau horaire), application en maintenance</w:t>
            </w:r>
          </w:p>
        </w:tc>
      </w:tr>
    </w:tbl>
    <w:p/>
    <w:p>
      <w:pPr>
        <w:pStyle w:val="Heading2"/>
      </w:pPr>
      <w:r>
        <w:t>11.1 Reste à faire — exploitation (instance en ligne)</w:t>
      </w:r>
    </w:p>
    <w:p>
      <w:pPr>
        <w:pStyle w:val="ListBullet"/>
      </w:pPr>
      <w:r>
        <w:t>Mettre à jour l'instance vers la 1.4 avec docs/runbook-mise-a-jour-cron.md (maintenance, une migration, vendor/ inchangé, SPA à redéployer ; resources/lang/fr/validation.php part avec resources/).</w:t>
      </w:r>
    </w:p>
    <w:p>
      <w:pPr>
        <w:pStyle w:val="ListBullet"/>
      </w:pPr>
      <w:r>
        <w:t>Relire storage/app/settings.json avant d'envoyer le code : ses réglages (HTTPS forcé, maintenance, serveur SMTP…) s'appliquent dès lors.</w:t>
      </w:r>
    </w:p>
    <w:p>
      <w:pPr>
        <w:pStyle w:val="ListBullet"/>
      </w:pPr>
      <w:r>
        <w:t>Contrôler avec docs/checklist-post-deploiement.md §06 (lecture seule en production, création de données en recette).</w:t>
      </w:r>
    </w:p>
    <w:p>
      <w:pPr>
        <w:pStyle w:val="ListBullet"/>
      </w:pPr>
      <w:r>
        <w:t>Vider le cache des PDF d'OM (storage/app/private/ordres/) et envoyer un e-mail de test depuis Messagerie.</w:t>
      </w:r>
    </w:p>
    <w:p>
      <w:pPr>
        <w:pStyle w:val="ListBullet"/>
      </w:pPr>
      <w:r>
        <w:t>Éprouver la restauration d'une sauvegarde sur une base MySQL de recette.</w:t>
      </w:r>
    </w:p>
    <w:p>
      <w:pPr>
        <w:pStyle w:val="ListBullet"/>
      </w:pPr>
      <w:r>
        <w:t>Sauvegarder storage/ avec la base (réglages, paraphes et fichiers produits ne sont pas dans le dump).</w:t>
      </w:r>
    </w:p>
    <w:p>
      <w:pPr>
        <w:pStyle w:val="ListBullet"/>
      </w:pPr>
      <w:r>
        <w:t>Si la file passe en QUEUE_CONNECTION=database : tâche Cron queue:work nommant les trois files.</w:t>
      </w:r>
    </w:p>
    <w:p>
      <w:pPr>
        <w:pStyle w:val="Heading2"/>
      </w:pPr>
      <w:r>
        <w:t>11.2 Dette technique connue (sans effet sur le fonctionnement)</w:t>
      </w:r>
    </w:p>
    <w:p>
      <w:pPr>
        <w:pStyle w:val="ListBullet"/>
      </w:pPr>
      <w:r>
        <w:t>Correctifs sans test automatisé : minuteurs, page de maintenance, garde de route au rechargement, lockForUpdate sous MySQL.</w:t>
      </w:r>
    </w:p>
    <w:p>
      <w:pPr>
        <w:pStyle w:val="ListBullet"/>
      </w:pPr>
      <w:r>
        <w:t>Restauration et tri des sauvegardes couverts seulement par Pest (SQLite, simulation).</w:t>
      </w:r>
    </w:p>
    <w:p>
      <w:pPr>
        <w:pStyle w:val="ListBullet"/>
      </w:pPr>
      <w:r>
        <w:t>Scripts de recette (83 contrôles) et de rejeu de la démonstration non versionnés.</w:t>
      </w:r>
    </w:p>
    <w:p>
      <w:pPr>
        <w:pStyle w:val="ListBullet"/>
      </w:pPr>
      <w:r>
        <w:t>Trois écrans (barème, exports de rapports) affichent un message d'échec générique à côté du motif réel.</w:t>
      </w:r>
    </w:p>
    <w:p>
      <w:pPr>
        <w:pStyle w:val="ListBullet"/>
      </w:pPr>
      <w:r>
        <w:t>Vue reste en 3.6.0-beta.9 (figée par le lock) : passer à la 3.6 stable à sa sortie, CI rejouée.</w:t>
      </w:r>
    </w:p>
    <w:p>
      <w:pPr>
        <w:pStyle w:val="ListBullet"/>
      </w:pPr>
      <w:r>
        <w:t>Deux documents historiques (docs/deploiement-circuit-validation.md, docs/plan-validation-daf-dg.md) à archiver si le client le souhaite.</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