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2880"/>
        <w:gridCol w:w="2880"/>
        <w:gridCol w:w="2880"/>
      </w:tblGrid>
      <w:tr>
        <w:tc>
          <w:tcPr>
            <w:tcW w:type="dxa" w:w="3175"/>
            <w:shd w:val="clear" w:fill="1D9E4F"/>
          </w:tcPr>
          <w:p>
            <w:r>
              <w:rPr>
                <w:sz w:val="4"/>
              </w:rPr>
              <w:t xml:space="preserve"> </w:t>
            </w:r>
          </w:p>
        </w:tc>
        <w:tc>
          <w:tcPr>
            <w:tcW w:type="dxa" w:w="3175"/>
            <w:shd w:val="clear" w:fill="D4A843"/>
          </w:tcPr>
          <w:p>
            <w:r>
              <w:rPr>
                <w:sz w:val="4"/>
              </w:rPr>
              <w:t xml:space="preserve"> </w:t>
            </w:r>
          </w:p>
        </w:tc>
        <w:tc>
          <w:tcPr>
            <w:tcW w:type="dxa" w:w="3175"/>
            <w:shd w:val="clear" w:fill="CE1126"/>
          </w:tcPr>
          <w:p>
            <w:r>
              <w:rPr>
                <w:sz w:val="4"/>
              </w:rPr>
              <w:t xml:space="preserve"> </w:t>
            </w:r>
          </w:p>
        </w:tc>
      </w:tr>
    </w:tbl>
    <w:p/>
    <w:p>
      <w:pPr>
        <w:jc w:val="center"/>
      </w:pPr>
      <w:r>
        <w:drawing>
          <wp:inline xmlns:a="http://schemas.openxmlformats.org/drawingml/2006/main" xmlns:pic="http://schemas.openxmlformats.org/drawingml/2006/picture">
            <wp:extent cx="2160000" cy="592541"/>
            <wp:docPr id="1" name="Picture 1"/>
            <wp:cNvGraphicFramePr>
              <a:graphicFrameLocks noChangeAspect="1"/>
            </wp:cNvGraphicFramePr>
            <a:graphic>
              <a:graphicData uri="http://schemas.openxmlformats.org/drawingml/2006/picture">
                <pic:pic>
                  <pic:nvPicPr>
                    <pic:cNvPr id="0" name="logoannat.png"/>
                    <pic:cNvPicPr/>
                  </pic:nvPicPr>
                  <pic:blipFill>
                    <a:blip r:embed="rId9"/>
                    <a:stretch>
                      <a:fillRect/>
                    </a:stretch>
                  </pic:blipFill>
                  <pic:spPr>
                    <a:xfrm>
                      <a:off x="0" y="0"/>
                      <a:ext cx="2160000" cy="592541"/>
                    </a:xfrm>
                    <a:prstGeom prst="rect"/>
                  </pic:spPr>
                </pic:pic>
              </a:graphicData>
            </a:graphic>
          </wp:inline>
        </w:drawing>
      </w:r>
    </w:p>
    <w:p/>
    <w:p>
      <w:pPr>
        <w:jc w:val="center"/>
      </w:pPr>
      <w:r>
        <w:rPr>
          <w:b/>
          <w:color w:val="1D9E4F"/>
          <w:sz w:val="60"/>
        </w:rPr>
        <w:t>Guide Utilisateur</w:t>
      </w:r>
    </w:p>
    <w:p>
      <w:pPr>
        <w:jc w:val="center"/>
      </w:pPr>
      <w:r>
        <w:rPr>
          <w:color w:val="4B5563"/>
          <w:sz w:val="30"/>
        </w:rPr>
        <w:t>Système de Gestion des Ordres de Mission</w:t>
      </w:r>
    </w:p>
    <w:p>
      <w:pPr>
        <w:jc w:val="center"/>
      </w:pPr>
      <w:r>
        <w:rPr>
          <w:color w:val="4B5563"/>
          <w:sz w:val="24"/>
        </w:rPr>
        <w:t>ANaTT — Agence Nationale des Transports Terrestres</w:t>
        <w:br/>
        <w:t>République du Bénin</w:t>
      </w:r>
    </w:p>
    <w:p/>
    <w:p/>
    <w:p/>
    <w:p/>
    <w:p/>
    <w:p/>
    <w:p>
      <w:pPr>
        <w:jc w:val="center"/>
      </w:pPr>
      <w:r>
        <w:rPr>
          <w:b/>
          <w:color w:val="B8891A"/>
        </w:rPr>
        <w:t>Version 1.0.0  •  Juin 2026</w:t>
      </w:r>
    </w:p>
    <w:p>
      <w:pPr>
        <w:jc w:val="center"/>
      </w:pPr>
      <w:r>
        <w:rPr>
          <w:i/>
          <w:color w:val="4B5563"/>
          <w:sz w:val="20"/>
        </w:rPr>
        <w:t>Document destiné aux utilisateurs de l'application</w:t>
      </w:r>
    </w:p>
    <w:p>
      <w:r>
        <w:br w:type="page"/>
      </w:r>
    </w:p>
    <w:p>
      <w:pPr>
        <w:pStyle w:val="Heading1"/>
      </w:pPr>
      <w:r>
        <w:t>Sommaire</w:t>
      </w:r>
    </w:p>
    <w:p>
      <w:r>
        <w:fldChar w:fldCharType="begin"/>
        <w:instrText xml:space="preserve">TOC \o "1-3" \h \z \u</w:instrText>
        <w:fldChar w:fldCharType="separate"/>
        <w:t>Faites un clic droit ici puis « Mettre à jour les champs » pour générer le sommaire.</w:t>
        <w:fldChar w:fldCharType="end"/>
      </w:r>
    </w:p>
    <w:p>
      <w:r>
        <w:br w:type="page"/>
      </w:r>
    </w:p>
    <w:p>
      <w:pPr>
        <w:pStyle w:val="Heading1"/>
      </w:pPr>
      <w:r>
        <w:t>1. Présentation de l'application</w:t>
      </w:r>
    </w:p>
    <w:p>
      <w:r>
        <w:rPr>
          <w:b w:val="0"/>
          <w:i w:val="0"/>
        </w:rPr>
        <w:t>L'application ANaTT de gestion des ordres de mission permet de retranscrire les ordres de mission (OM) émis par SEMO, de calculer les indemnités (per diem) selon le barème officiel, puis de générer les fichiers de paiement Mobile Money à déposer sur les plateformes MTN et Moov.</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Périmètre important : </w:t>
            </w:r>
            <w:r>
              <w:rPr>
                <w:sz w:val="20"/>
              </w:rPr>
              <w:t>L'application NE crée PAS les ordres de mission (c'est SEMO qui les émet) et NE réalise PAS les paiements (effectués sur les plateformes MTN / Moov). Elle RETRANSCRIT les OM puis GÉNÈRE les fichiers de paiement. La confirmation d'un paiement est manuelle, après dépôt réussi.</w:t>
            </w:r>
          </w:p>
        </w:tc>
      </w:tr>
    </w:tbl>
    <w:p/>
    <w:p>
      <w:pPr>
        <w:pStyle w:val="Heading2"/>
      </w:pPr>
      <w:r>
        <w:t>1.1 Cycle de vie en bref</w:t>
      </w:r>
    </w:p>
    <w:p>
      <w:r>
        <w:rPr>
          <w:b w:val="0"/>
          <w:i w:val="0"/>
        </w:rPr>
        <w:t>Le parcours complet d'un dossier suit toujours la même séquence :</w:t>
      </w:r>
    </w:p>
    <w:p>
      <w:pPr>
        <w:pStyle w:val="ListNumber"/>
      </w:pPr>
      <w:r>
        <w:t>SEMO émet l'ordre de mission (hors application).</w:t>
      </w:r>
    </w:p>
    <w:p>
      <w:pPr>
        <w:pStyle w:val="ListNumber"/>
      </w:pPr>
      <w:r>
        <w:t>Un gestionnaire retranscrit l'OM dans l'application (regroupé par mission).</w:t>
      </w:r>
    </w:p>
    <w:p>
      <w:pPr>
        <w:pStyle w:val="ListNumber"/>
      </w:pPr>
      <w:r>
        <w:t>Le système calcule le per diem (catégorie × zone × type de prise en charge × nombre de jours).</w:t>
      </w:r>
    </w:p>
    <w:p>
      <w:pPr>
        <w:pStyle w:val="ListNumber"/>
      </w:pPr>
      <w:r>
        <w:t>Un contrôleur valide (ou rejette) l'ordre de mission.</w:t>
      </w:r>
    </w:p>
    <w:p>
      <w:pPr>
        <w:pStyle w:val="ListNumber"/>
      </w:pPr>
      <w:r>
        <w:t>Un agent financier génère le fichier de paiement (.txt MTN ou .xlsx Moov).</w:t>
      </w:r>
    </w:p>
    <w:p>
      <w:pPr>
        <w:pStyle w:val="ListNumber"/>
      </w:pPr>
      <w:r>
        <w:t>Le fichier est déposé manuellement sur la plateforme de l'opérateur.</w:t>
      </w:r>
    </w:p>
    <w:p>
      <w:pPr>
        <w:pStyle w:val="ListNumber"/>
      </w:pPr>
      <w:r>
        <w:t>L'agent financier confirme le paiement dans l'application une fois le dépôt réussi.</w:t>
      </w:r>
    </w:p>
    <w:p>
      <w:pPr>
        <w:pStyle w:val="Heading2"/>
      </w:pPr>
      <w:r>
        <w:t>1.2 Notions clés</w:t>
      </w:r>
    </w:p>
    <w:p>
      <w:pPr>
        <w:pStyle w:val="ListBullet"/>
      </w:pPr>
      <w:r>
        <w:t>Mission : un événement (atelier, supervision…) qui regroupe plusieurs ordres de mission.</w:t>
      </w:r>
    </w:p>
    <w:p>
      <w:pPr>
        <w:pStyle w:val="ListBullet"/>
      </w:pPr>
      <w:r>
        <w:t>Ordre de mission (OM) : 1 enregistrement = 1 bénéficiaire. Sa référence SEMO est unique.</w:t>
      </w:r>
    </w:p>
    <w:p>
      <w:pPr>
        <w:pStyle w:val="ListBullet"/>
      </w:pPr>
      <w:r>
        <w:t>CAV (conducteur de véhicule administratif) : bénéficiaire à part entière, payé selon SA catégorie.</w:t>
      </w:r>
    </w:p>
    <w:p>
      <w:pPr>
        <w:pStyle w:val="ListBullet"/>
      </w:pPr>
      <w:r>
        <w:t>Per diem : indemnité journalière, répartie en AVANCE (33,33 %) et RELIQUAT (66,67 %).</w:t>
      </w:r>
    </w:p>
    <w:p>
      <w:pPr>
        <w:pStyle w:val="ListBullet"/>
      </w:pPr>
      <w:r>
        <w:t>Versement : une tranche (AVANCE ou RELIQUAT) d'un OM, pour un opérateur donné.</w:t>
      </w:r>
    </w:p>
    <w:p>
      <w:pPr>
        <w:pStyle w:val="ListBullet"/>
      </w:pPr>
      <w:r>
        <w:t>Lot de paiement : 1 mission × 1 tranche × 1 opérateur = 1 fichier généré.</w:t>
      </w:r>
    </w:p>
    <w:p>
      <w:pPr>
        <w:pStyle w:val="Heading1"/>
      </w:pPr>
      <w:r>
        <w:t>2. Rôles et accès</w:t>
      </w:r>
    </w:p>
    <w:p>
      <w:r>
        <w:rPr>
          <w:b w:val="0"/>
          <w:i w:val="0"/>
        </w:rPr>
        <w:t>Chaque utilisateur possède un profil qui détermine ce qu'il peut voir et faire. Le menu et les boutons s'adaptent automatiquement aux droits de l'utilisateur connecté.</w:t>
      </w:r>
    </w:p>
    <w:tbl>
      <w:tblPr>
        <w:tblStyle w:val="TableGrid"/>
        <w:tblW w:type="auto" w:w="0"/>
        <w:jc w:val="center"/>
        <w:tblLook w:firstColumn="1" w:firstRow="1" w:lastColumn="0" w:lastRow="0" w:noHBand="0" w:noVBand="1" w:val="04A0"/>
      </w:tblPr>
      <w:tblGrid>
        <w:gridCol w:w="4320"/>
        <w:gridCol w:w="4320"/>
      </w:tblGrid>
      <w:tr>
        <w:tc>
          <w:tcPr>
            <w:tcW w:type="dxa" w:w="2381"/>
            <w:shd w:val="clear" w:fill="1D9E4F"/>
          </w:tcPr>
          <w:p>
            <w:r/>
            <w:r>
              <w:rPr>
                <w:b/>
                <w:color w:val="FFFFFF"/>
                <w:sz w:val="20"/>
              </w:rPr>
              <w:t>Profil</w:t>
            </w:r>
          </w:p>
        </w:tc>
        <w:tc>
          <w:tcPr>
            <w:tcW w:type="dxa" w:w="7143"/>
            <w:shd w:val="clear" w:fill="1D9E4F"/>
          </w:tcPr>
          <w:p>
            <w:r/>
            <w:r>
              <w:rPr>
                <w:b/>
                <w:color w:val="FFFFFF"/>
                <w:sz w:val="20"/>
              </w:rPr>
              <w:t>Rôle principal</w:t>
            </w:r>
          </w:p>
        </w:tc>
      </w:tr>
      <w:tr>
        <w:tc>
          <w:tcPr>
            <w:tcW w:type="dxa" w:w="2381"/>
          </w:tcPr>
          <w:p>
            <w:r/>
            <w:r>
              <w:rPr>
                <w:b w:val="0"/>
                <w:sz w:val="20"/>
              </w:rPr>
              <w:t>SUPER_ADMIN</w:t>
            </w:r>
          </w:p>
        </w:tc>
        <w:tc>
          <w:tcPr>
            <w:tcW w:type="dxa" w:w="7143"/>
          </w:tcPr>
          <w:p>
            <w:r/>
            <w:r>
              <w:rPr>
                <w:b w:val="0"/>
                <w:sz w:val="20"/>
              </w:rPr>
              <w:t>Accès total. Seul à gérer les super administrateurs et les paramètres système.</w:t>
            </w:r>
          </w:p>
        </w:tc>
      </w:tr>
      <w:tr>
        <w:tc>
          <w:tcPr>
            <w:tcW w:type="dxa" w:w="2381"/>
          </w:tcPr>
          <w:p>
            <w:r/>
            <w:r>
              <w:rPr>
                <w:b w:val="0"/>
                <w:sz w:val="20"/>
              </w:rPr>
              <w:t>ADMIN</w:t>
            </w:r>
          </w:p>
        </w:tc>
        <w:tc>
          <w:tcPr>
            <w:tcW w:type="dxa" w:w="7143"/>
          </w:tcPr>
          <w:p>
            <w:r/>
            <w:r>
              <w:rPr>
                <w:b w:val="0"/>
                <w:sz w:val="20"/>
              </w:rPr>
              <w:t>Utilisateurs (hors super admins), référentiels, barème, audit. Supervise sans exécuter les paiements.</w:t>
            </w:r>
          </w:p>
        </w:tc>
      </w:tr>
      <w:tr>
        <w:tc>
          <w:tcPr>
            <w:tcW w:type="dxa" w:w="2381"/>
          </w:tcPr>
          <w:p>
            <w:r/>
            <w:r>
              <w:rPr>
                <w:b w:val="0"/>
                <w:sz w:val="20"/>
              </w:rPr>
              <w:t>GESTIONNAIRE_OM</w:t>
            </w:r>
          </w:p>
        </w:tc>
        <w:tc>
          <w:tcPr>
            <w:tcW w:type="dxa" w:w="7143"/>
          </w:tcPr>
          <w:p>
            <w:r/>
            <w:r>
              <w:rPr>
                <w:b w:val="0"/>
                <w:sz w:val="20"/>
              </w:rPr>
              <w:t>Retranscrit et gère les missions, les OM et les agents.</w:t>
            </w:r>
          </w:p>
        </w:tc>
      </w:tr>
      <w:tr>
        <w:tc>
          <w:tcPr>
            <w:tcW w:type="dxa" w:w="2381"/>
          </w:tcPr>
          <w:p>
            <w:r/>
            <w:r>
              <w:rPr>
                <w:b w:val="0"/>
                <w:sz w:val="20"/>
              </w:rPr>
              <w:t>AGENT_FINANCIER</w:t>
            </w:r>
          </w:p>
        </w:tc>
        <w:tc>
          <w:tcPr>
            <w:tcW w:type="dxa" w:w="7143"/>
          </w:tcPr>
          <w:p>
            <w:r/>
            <w:r>
              <w:rPr>
                <w:b w:val="0"/>
                <w:sz w:val="20"/>
              </w:rPr>
              <w:t>Génère les fichiers MTN/Moov et confirme les paiements.</w:t>
            </w:r>
          </w:p>
        </w:tc>
      </w:tr>
      <w:tr>
        <w:tc>
          <w:tcPr>
            <w:tcW w:type="dxa" w:w="2381"/>
          </w:tcPr>
          <w:p>
            <w:r/>
            <w:r>
              <w:rPr>
                <w:b w:val="0"/>
                <w:sz w:val="20"/>
              </w:rPr>
              <w:t>CONTROLEUR</w:t>
            </w:r>
          </w:p>
        </w:tc>
        <w:tc>
          <w:tcPr>
            <w:tcW w:type="dxa" w:w="7143"/>
          </w:tcPr>
          <w:p>
            <w:r/>
            <w:r>
              <w:rPr>
                <w:b w:val="0"/>
                <w:sz w:val="20"/>
              </w:rPr>
              <w:t>Valide ou rejette les ordres de mission ; consulte paiements et audit.</w:t>
            </w:r>
          </w:p>
        </w:tc>
      </w:tr>
      <w:tr>
        <w:tc>
          <w:tcPr>
            <w:tcW w:type="dxa" w:w="2381"/>
          </w:tcPr>
          <w:p>
            <w:r/>
            <w:r>
              <w:rPr>
                <w:b w:val="0"/>
                <w:sz w:val="20"/>
              </w:rPr>
              <w:t>LECTEUR</w:t>
            </w:r>
          </w:p>
        </w:tc>
        <w:tc>
          <w:tcPr>
            <w:tcW w:type="dxa" w:w="7143"/>
          </w:tcPr>
          <w:p>
            <w:r/>
            <w:r>
              <w:rPr>
                <w:b w:val="0"/>
                <w:sz w:val="20"/>
              </w:rPr>
              <w:t>Lecture seule (tableau de bord, OM, rapports).</w:t>
            </w:r>
          </w:p>
        </w:tc>
      </w:tr>
    </w:tbl>
    <w:p/>
    <w:p>
      <w:pPr>
        <w:pStyle w:val="Heading2"/>
      </w:pPr>
      <w:r>
        <w:t>2.1 Matrice détaillée des permissions</w:t>
      </w:r>
    </w:p>
    <w:p>
      <w:r>
        <w:rPr>
          <w:b w:val="0"/>
          <w:i w:val="0"/>
        </w:rPr>
        <w:t>Légende : ✔ = autorisé. Le SUPER_ADMIN dispose implicitement de toutes les permissions.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3628"/>
            <w:shd w:val="clear" w:fill="1D9E4F"/>
          </w:tcPr>
          <w:p>
            <w:r/>
            <w:r>
              <w:rPr>
                <w:b/>
                <w:color w:val="FFFFFF"/>
                <w:sz w:val="20"/>
              </w:rPr>
              <w:t>Permission</w:t>
            </w:r>
          </w:p>
        </w:tc>
        <w:tc>
          <w:tcPr>
            <w:tcW w:type="dxa" w:w="1179"/>
            <w:shd w:val="clear" w:fill="1D9E4F"/>
          </w:tcPr>
          <w:p>
            <w:r/>
            <w:r>
              <w:rPr>
                <w:b/>
                <w:color w:val="FFFFFF"/>
                <w:sz w:val="20"/>
              </w:rPr>
              <w:t>ADMIN</w:t>
            </w:r>
          </w:p>
        </w:tc>
        <w:tc>
          <w:tcPr>
            <w:tcW w:type="dxa" w:w="1179"/>
            <w:shd w:val="clear" w:fill="1D9E4F"/>
          </w:tcPr>
          <w:p>
            <w:r/>
            <w:r>
              <w:rPr>
                <w:b/>
                <w:color w:val="FFFFFF"/>
                <w:sz w:val="20"/>
              </w:rPr>
              <w:t>GEST.</w:t>
            </w:r>
          </w:p>
        </w:tc>
        <w:tc>
          <w:tcPr>
            <w:tcW w:type="dxa" w:w="1179"/>
            <w:shd w:val="clear" w:fill="1D9E4F"/>
          </w:tcPr>
          <w:p>
            <w:r/>
            <w:r>
              <w:rPr>
                <w:b/>
                <w:color w:val="FFFFFF"/>
                <w:sz w:val="20"/>
              </w:rPr>
              <w:t>FINANC.</w:t>
            </w:r>
          </w:p>
        </w:tc>
        <w:tc>
          <w:tcPr>
            <w:tcW w:type="dxa" w:w="1179"/>
            <w:shd w:val="clear" w:fill="1D9E4F"/>
          </w:tcPr>
          <w:p>
            <w:r/>
            <w:r>
              <w:rPr>
                <w:b/>
                <w:color w:val="FFFFFF"/>
                <w:sz w:val="20"/>
              </w:rPr>
              <w:t>CONTR.</w:t>
            </w:r>
          </w:p>
        </w:tc>
        <w:tc>
          <w:tcPr>
            <w:tcW w:type="dxa" w:w="1179"/>
            <w:shd w:val="clear" w:fill="1D9E4F"/>
          </w:tcPr>
          <w:p>
            <w:r/>
            <w:r>
              <w:rPr>
                <w:b/>
                <w:color w:val="FFFFFF"/>
                <w:sz w:val="20"/>
              </w:rPr>
              <w:t>LECT.</w:t>
            </w:r>
          </w:p>
        </w:tc>
      </w:tr>
      <w:tr>
        <w:tc>
          <w:tcPr>
            <w:tcW w:type="dxa" w:w="3628"/>
          </w:tcPr>
          <w:p>
            <w:r/>
            <w:r>
              <w:rPr>
                <w:b w:val="0"/>
                <w:sz w:val="20"/>
              </w:rPr>
              <w:t>Tableau de bord</w:t>
            </w:r>
          </w:p>
        </w:tc>
        <w:tc>
          <w:tcPr>
            <w:tcW w:type="dxa" w:w="1179"/>
          </w:tcPr>
          <w:p>
            <w:r/>
            <w:r>
              <w:rPr>
                <w:b w:val="0"/>
                <w:sz w:val="20"/>
              </w:rPr>
              <w:t>✔</w:t>
            </w:r>
          </w:p>
        </w:tc>
        <w:tc>
          <w:tcPr>
            <w:tcW w:type="dxa" w:w="1179"/>
          </w:tcPr>
          <w:p>
            <w:r/>
            <w:r>
              <w:rPr>
                <w:b w:val="0"/>
                <w:sz w:val="20"/>
              </w:rPr>
              <w:t>✔</w:t>
            </w:r>
          </w:p>
        </w:tc>
        <w:tc>
          <w:tcPr>
            <w:tcW w:type="dxa" w:w="1179"/>
          </w:tcPr>
          <w:p>
            <w:r/>
            <w:r>
              <w:rPr>
                <w:b w:val="0"/>
                <w:sz w:val="20"/>
              </w:rPr>
              <w:t>✔</w:t>
            </w:r>
          </w:p>
        </w:tc>
        <w:tc>
          <w:tcPr>
            <w:tcW w:type="dxa" w:w="1179"/>
          </w:tcPr>
          <w:p>
            <w:r/>
            <w:r>
              <w:rPr>
                <w:b w:val="0"/>
                <w:sz w:val="20"/>
              </w:rPr>
              <w:t>✔</w:t>
            </w:r>
          </w:p>
        </w:tc>
        <w:tc>
          <w:tcPr>
            <w:tcW w:type="dxa" w:w="1179"/>
          </w:tcPr>
          <w:p>
            <w:r/>
            <w:r>
              <w:rPr>
                <w:b w:val="0"/>
                <w:sz w:val="20"/>
              </w:rPr>
              <w:t>✔</w:t>
            </w:r>
          </w:p>
        </w:tc>
      </w:tr>
      <w:tr>
        <w:tc>
          <w:tcPr>
            <w:tcW w:type="dxa" w:w="3628"/>
          </w:tcPr>
          <w:p>
            <w:r/>
            <w:r>
              <w:rPr>
                <w:b w:val="0"/>
                <w:sz w:val="20"/>
              </w:rPr>
              <w:t>Personnel — consulter</w:t>
            </w:r>
          </w:p>
        </w:tc>
        <w:tc>
          <w:tcPr>
            <w:tcW w:type="dxa" w:w="1179"/>
          </w:tcPr>
          <w:p>
            <w:r/>
            <w:r>
              <w:rPr>
                <w:b w:val="0"/>
                <w:sz w:val="20"/>
              </w:rPr>
              <w:t>✔</w:t>
            </w:r>
          </w:p>
        </w:tc>
        <w:tc>
          <w:tcPr>
            <w:tcW w:type="dxa" w:w="1179"/>
          </w:tcPr>
          <w:p>
            <w:r/>
            <w:r>
              <w:rPr>
                <w:b w:val="0"/>
                <w:sz w:val="20"/>
              </w:rPr>
              <w:t>✔</w:t>
            </w:r>
          </w:p>
        </w:tc>
        <w:tc>
          <w:tcPr>
            <w:tcW w:type="dxa" w:w="1179"/>
          </w:tcPr>
          <w:p>
            <w:r/>
            <w:r>
              <w:rPr>
                <w:b w:val="0"/>
                <w:sz w:val="20"/>
              </w:rPr>
              <w:t>✔</w:t>
            </w:r>
          </w:p>
        </w:tc>
        <w:tc>
          <w:tcPr>
            <w:tcW w:type="dxa" w:w="1179"/>
          </w:tcPr>
          <w:p>
            <w:r/>
            <w:r>
              <w:rPr>
                <w:b w:val="0"/>
                <w:sz w:val="20"/>
              </w:rPr>
              <w:t>✔</w:t>
            </w:r>
          </w:p>
        </w:tc>
        <w:tc>
          <w:tcPr>
            <w:tcW w:type="dxa" w:w="1179"/>
          </w:tcPr>
          <w:p>
            <w:r/>
            <w:r>
              <w:rPr>
                <w:b w:val="0"/>
                <w:sz w:val="20"/>
              </w:rPr>
            </w:r>
          </w:p>
        </w:tc>
      </w:tr>
      <w:tr>
        <w:tc>
          <w:tcPr>
            <w:tcW w:type="dxa" w:w="3628"/>
          </w:tcPr>
          <w:p>
            <w:r/>
            <w:r>
              <w:rPr>
                <w:b w:val="0"/>
                <w:sz w:val="20"/>
              </w:rPr>
              <w:t>Personnel — gérer</w:t>
            </w:r>
          </w:p>
        </w:tc>
        <w:tc>
          <w:tcPr>
            <w:tcW w:type="dxa" w:w="1179"/>
          </w:tcPr>
          <w:p>
            <w:r/>
            <w:r>
              <w:rPr>
                <w:b w:val="0"/>
                <w:sz w:val="20"/>
              </w:rPr>
              <w:t>✔</w:t>
            </w:r>
          </w:p>
        </w:tc>
        <w:tc>
          <w:tcPr>
            <w:tcW w:type="dxa" w:w="1179"/>
          </w:tcPr>
          <w:p>
            <w:r/>
            <w:r>
              <w:rPr>
                <w:b w:val="0"/>
                <w:sz w:val="20"/>
              </w:rPr>
              <w:t>✔</w:t>
            </w:r>
          </w:p>
        </w:tc>
        <w:tc>
          <w:tcPr>
            <w:tcW w:type="dxa" w:w="1179"/>
          </w:tcPr>
          <w:p>
            <w:r/>
            <w:r>
              <w:rPr>
                <w:b w:val="0"/>
                <w:sz w:val="20"/>
              </w:rPr>
            </w:r>
          </w:p>
        </w:tc>
        <w:tc>
          <w:tcPr>
            <w:tcW w:type="dxa" w:w="1179"/>
          </w:tcPr>
          <w:p>
            <w:r/>
            <w:r>
              <w:rPr>
                <w:b w:val="0"/>
                <w:sz w:val="20"/>
              </w:rPr>
            </w:r>
          </w:p>
        </w:tc>
        <w:tc>
          <w:tcPr>
            <w:tcW w:type="dxa" w:w="1179"/>
          </w:tcPr>
          <w:p>
            <w:r/>
            <w:r>
              <w:rPr>
                <w:b w:val="0"/>
                <w:sz w:val="20"/>
              </w:rPr>
            </w:r>
          </w:p>
        </w:tc>
      </w:tr>
      <w:tr>
        <w:tc>
          <w:tcPr>
            <w:tcW w:type="dxa" w:w="3628"/>
          </w:tcPr>
          <w:p>
            <w:r/>
            <w:r>
              <w:rPr>
                <w:b w:val="0"/>
                <w:sz w:val="20"/>
              </w:rPr>
              <w:t>OM — consulter</w:t>
            </w:r>
          </w:p>
        </w:tc>
        <w:tc>
          <w:tcPr>
            <w:tcW w:type="dxa" w:w="1179"/>
          </w:tcPr>
          <w:p>
            <w:r/>
            <w:r>
              <w:rPr>
                <w:b w:val="0"/>
                <w:sz w:val="20"/>
              </w:rPr>
              <w:t>✔</w:t>
            </w:r>
          </w:p>
        </w:tc>
        <w:tc>
          <w:tcPr>
            <w:tcW w:type="dxa" w:w="1179"/>
          </w:tcPr>
          <w:p>
            <w:r/>
            <w:r>
              <w:rPr>
                <w:b w:val="0"/>
                <w:sz w:val="20"/>
              </w:rPr>
              <w:t>✔</w:t>
            </w:r>
          </w:p>
        </w:tc>
        <w:tc>
          <w:tcPr>
            <w:tcW w:type="dxa" w:w="1179"/>
          </w:tcPr>
          <w:p>
            <w:r/>
            <w:r>
              <w:rPr>
                <w:b w:val="0"/>
                <w:sz w:val="20"/>
              </w:rPr>
              <w:t>✔</w:t>
            </w:r>
          </w:p>
        </w:tc>
        <w:tc>
          <w:tcPr>
            <w:tcW w:type="dxa" w:w="1179"/>
          </w:tcPr>
          <w:p>
            <w:r/>
            <w:r>
              <w:rPr>
                <w:b w:val="0"/>
                <w:sz w:val="20"/>
              </w:rPr>
              <w:t>✔</w:t>
            </w:r>
          </w:p>
        </w:tc>
        <w:tc>
          <w:tcPr>
            <w:tcW w:type="dxa" w:w="1179"/>
          </w:tcPr>
          <w:p>
            <w:r/>
            <w:r>
              <w:rPr>
                <w:b w:val="0"/>
                <w:sz w:val="20"/>
              </w:rPr>
              <w:t>✔</w:t>
            </w:r>
          </w:p>
        </w:tc>
      </w:tr>
      <w:tr>
        <w:tc>
          <w:tcPr>
            <w:tcW w:type="dxa" w:w="3628"/>
          </w:tcPr>
          <w:p>
            <w:r/>
            <w:r>
              <w:rPr>
                <w:b w:val="0"/>
                <w:sz w:val="20"/>
              </w:rPr>
              <w:t>OM — retranscrire</w:t>
            </w:r>
          </w:p>
        </w:tc>
        <w:tc>
          <w:tcPr>
            <w:tcW w:type="dxa" w:w="1179"/>
          </w:tcPr>
          <w:p>
            <w:r/>
            <w:r>
              <w:rPr>
                <w:b w:val="0"/>
                <w:sz w:val="20"/>
              </w:rPr>
            </w:r>
          </w:p>
        </w:tc>
        <w:tc>
          <w:tcPr>
            <w:tcW w:type="dxa" w:w="1179"/>
          </w:tcPr>
          <w:p>
            <w:r/>
            <w:r>
              <w:rPr>
                <w:b w:val="0"/>
                <w:sz w:val="20"/>
              </w:rPr>
              <w:t>✔</w:t>
            </w:r>
          </w:p>
        </w:tc>
        <w:tc>
          <w:tcPr>
            <w:tcW w:type="dxa" w:w="1179"/>
          </w:tcPr>
          <w:p>
            <w:r/>
            <w:r>
              <w:rPr>
                <w:b w:val="0"/>
                <w:sz w:val="20"/>
              </w:rPr>
            </w:r>
          </w:p>
        </w:tc>
        <w:tc>
          <w:tcPr>
            <w:tcW w:type="dxa" w:w="1179"/>
          </w:tcPr>
          <w:p>
            <w:r/>
            <w:r>
              <w:rPr>
                <w:b w:val="0"/>
                <w:sz w:val="20"/>
              </w:rPr>
            </w:r>
          </w:p>
        </w:tc>
        <w:tc>
          <w:tcPr>
            <w:tcW w:type="dxa" w:w="1179"/>
          </w:tcPr>
          <w:p>
            <w:r/>
            <w:r>
              <w:rPr>
                <w:b w:val="0"/>
                <w:sz w:val="20"/>
              </w:rPr>
            </w:r>
          </w:p>
        </w:tc>
      </w:tr>
      <w:tr>
        <w:tc>
          <w:tcPr>
            <w:tcW w:type="dxa" w:w="3628"/>
          </w:tcPr>
          <w:p>
            <w:r/>
            <w:r>
              <w:rPr>
                <w:b w:val="0"/>
                <w:sz w:val="20"/>
              </w:rPr>
              <w:t>OM — valider / rejeter</w:t>
            </w:r>
          </w:p>
        </w:tc>
        <w:tc>
          <w:tcPr>
            <w:tcW w:type="dxa" w:w="1179"/>
          </w:tcPr>
          <w:p>
            <w:r/>
            <w:r>
              <w:rPr>
                <w:b w:val="0"/>
                <w:sz w:val="20"/>
              </w:rPr>
            </w:r>
          </w:p>
        </w:tc>
        <w:tc>
          <w:tcPr>
            <w:tcW w:type="dxa" w:w="1179"/>
          </w:tcPr>
          <w:p>
            <w:r/>
            <w:r>
              <w:rPr>
                <w:b w:val="0"/>
                <w:sz w:val="20"/>
              </w:rPr>
            </w:r>
          </w:p>
        </w:tc>
        <w:tc>
          <w:tcPr>
            <w:tcW w:type="dxa" w:w="1179"/>
          </w:tcPr>
          <w:p>
            <w:r/>
            <w:r>
              <w:rPr>
                <w:b w:val="0"/>
                <w:sz w:val="20"/>
              </w:rPr>
            </w:r>
          </w:p>
        </w:tc>
        <w:tc>
          <w:tcPr>
            <w:tcW w:type="dxa" w:w="1179"/>
          </w:tcPr>
          <w:p>
            <w:r/>
            <w:r>
              <w:rPr>
                <w:b w:val="0"/>
                <w:sz w:val="20"/>
              </w:rPr>
              <w:t>✔</w:t>
            </w:r>
          </w:p>
        </w:tc>
        <w:tc>
          <w:tcPr>
            <w:tcW w:type="dxa" w:w="1179"/>
          </w:tcPr>
          <w:p>
            <w:r/>
            <w:r>
              <w:rPr>
                <w:b w:val="0"/>
                <w:sz w:val="20"/>
              </w:rPr>
            </w:r>
          </w:p>
        </w:tc>
      </w:tr>
      <w:tr>
        <w:tc>
          <w:tcPr>
            <w:tcW w:type="dxa" w:w="3628"/>
          </w:tcPr>
          <w:p>
            <w:r/>
            <w:r>
              <w:rPr>
                <w:b w:val="0"/>
                <w:sz w:val="20"/>
              </w:rPr>
              <w:t>Paiements — consulter</w:t>
            </w:r>
          </w:p>
        </w:tc>
        <w:tc>
          <w:tcPr>
            <w:tcW w:type="dxa" w:w="1179"/>
          </w:tcPr>
          <w:p>
            <w:r/>
            <w:r>
              <w:rPr>
                <w:b w:val="0"/>
                <w:sz w:val="20"/>
              </w:rPr>
              <w:t>✔</w:t>
            </w:r>
          </w:p>
        </w:tc>
        <w:tc>
          <w:tcPr>
            <w:tcW w:type="dxa" w:w="1179"/>
          </w:tcPr>
          <w:p>
            <w:r/>
            <w:r>
              <w:rPr>
                <w:b w:val="0"/>
                <w:sz w:val="20"/>
              </w:rPr>
              <w:t>✔</w:t>
            </w:r>
          </w:p>
        </w:tc>
        <w:tc>
          <w:tcPr>
            <w:tcW w:type="dxa" w:w="1179"/>
          </w:tcPr>
          <w:p>
            <w:r/>
            <w:r>
              <w:rPr>
                <w:b w:val="0"/>
                <w:sz w:val="20"/>
              </w:rPr>
              <w:t>✔</w:t>
            </w:r>
          </w:p>
        </w:tc>
        <w:tc>
          <w:tcPr>
            <w:tcW w:type="dxa" w:w="1179"/>
          </w:tcPr>
          <w:p>
            <w:r/>
            <w:r>
              <w:rPr>
                <w:b w:val="0"/>
                <w:sz w:val="20"/>
              </w:rPr>
              <w:t>✔</w:t>
            </w:r>
          </w:p>
        </w:tc>
        <w:tc>
          <w:tcPr>
            <w:tcW w:type="dxa" w:w="1179"/>
          </w:tcPr>
          <w:p>
            <w:r/>
            <w:r>
              <w:rPr>
                <w:b w:val="0"/>
                <w:sz w:val="20"/>
              </w:rPr>
            </w:r>
          </w:p>
        </w:tc>
      </w:tr>
      <w:tr>
        <w:tc>
          <w:tcPr>
            <w:tcW w:type="dxa" w:w="3628"/>
          </w:tcPr>
          <w:p>
            <w:r/>
            <w:r>
              <w:rPr>
                <w:b w:val="0"/>
                <w:sz w:val="20"/>
              </w:rPr>
              <w:t>Paiements — générer</w:t>
            </w:r>
          </w:p>
        </w:tc>
        <w:tc>
          <w:tcPr>
            <w:tcW w:type="dxa" w:w="1179"/>
          </w:tcPr>
          <w:p>
            <w:r/>
            <w:r>
              <w:rPr>
                <w:b w:val="0"/>
                <w:sz w:val="20"/>
              </w:rPr>
            </w:r>
          </w:p>
        </w:tc>
        <w:tc>
          <w:tcPr>
            <w:tcW w:type="dxa" w:w="1179"/>
          </w:tcPr>
          <w:p>
            <w:r/>
            <w:r>
              <w:rPr>
                <w:b w:val="0"/>
                <w:sz w:val="20"/>
              </w:rPr>
            </w:r>
          </w:p>
        </w:tc>
        <w:tc>
          <w:tcPr>
            <w:tcW w:type="dxa" w:w="1179"/>
          </w:tcPr>
          <w:p>
            <w:r/>
            <w:r>
              <w:rPr>
                <w:b w:val="0"/>
                <w:sz w:val="20"/>
              </w:rPr>
              <w:t>✔</w:t>
            </w:r>
          </w:p>
        </w:tc>
        <w:tc>
          <w:tcPr>
            <w:tcW w:type="dxa" w:w="1179"/>
          </w:tcPr>
          <w:p>
            <w:r/>
            <w:r>
              <w:rPr>
                <w:b w:val="0"/>
                <w:sz w:val="20"/>
              </w:rPr>
            </w:r>
          </w:p>
        </w:tc>
        <w:tc>
          <w:tcPr>
            <w:tcW w:type="dxa" w:w="1179"/>
          </w:tcPr>
          <w:p>
            <w:r/>
            <w:r>
              <w:rPr>
                <w:b w:val="0"/>
                <w:sz w:val="20"/>
              </w:rPr>
            </w:r>
          </w:p>
        </w:tc>
      </w:tr>
      <w:tr>
        <w:tc>
          <w:tcPr>
            <w:tcW w:type="dxa" w:w="3628"/>
          </w:tcPr>
          <w:p>
            <w:r/>
            <w:r>
              <w:rPr>
                <w:b w:val="0"/>
                <w:sz w:val="20"/>
              </w:rPr>
              <w:t>Paiements — confirmer</w:t>
            </w:r>
          </w:p>
        </w:tc>
        <w:tc>
          <w:tcPr>
            <w:tcW w:type="dxa" w:w="1179"/>
          </w:tcPr>
          <w:p>
            <w:r/>
            <w:r>
              <w:rPr>
                <w:b w:val="0"/>
                <w:sz w:val="20"/>
              </w:rPr>
            </w:r>
          </w:p>
        </w:tc>
        <w:tc>
          <w:tcPr>
            <w:tcW w:type="dxa" w:w="1179"/>
          </w:tcPr>
          <w:p>
            <w:r/>
            <w:r>
              <w:rPr>
                <w:b w:val="0"/>
                <w:sz w:val="20"/>
              </w:rPr>
            </w:r>
          </w:p>
        </w:tc>
        <w:tc>
          <w:tcPr>
            <w:tcW w:type="dxa" w:w="1179"/>
          </w:tcPr>
          <w:p>
            <w:r/>
            <w:r>
              <w:rPr>
                <w:b w:val="0"/>
                <w:sz w:val="20"/>
              </w:rPr>
              <w:t>✔</w:t>
            </w:r>
          </w:p>
        </w:tc>
        <w:tc>
          <w:tcPr>
            <w:tcW w:type="dxa" w:w="1179"/>
          </w:tcPr>
          <w:p>
            <w:r/>
            <w:r>
              <w:rPr>
                <w:b w:val="0"/>
                <w:sz w:val="20"/>
              </w:rPr>
            </w:r>
          </w:p>
        </w:tc>
        <w:tc>
          <w:tcPr>
            <w:tcW w:type="dxa" w:w="1179"/>
          </w:tcPr>
          <w:p>
            <w:r/>
            <w:r>
              <w:rPr>
                <w:b w:val="0"/>
                <w:sz w:val="20"/>
              </w:rPr>
            </w:r>
          </w:p>
        </w:tc>
      </w:tr>
      <w:tr>
        <w:tc>
          <w:tcPr>
            <w:tcW w:type="dxa" w:w="3628"/>
          </w:tcPr>
          <w:p>
            <w:r/>
            <w:r>
              <w:rPr>
                <w:b w:val="0"/>
                <w:sz w:val="20"/>
              </w:rPr>
              <w:t>Barème — consulter</w:t>
            </w:r>
          </w:p>
        </w:tc>
        <w:tc>
          <w:tcPr>
            <w:tcW w:type="dxa" w:w="1179"/>
          </w:tcPr>
          <w:p>
            <w:r/>
            <w:r>
              <w:rPr>
                <w:b w:val="0"/>
                <w:sz w:val="20"/>
              </w:rPr>
              <w:t>✔</w:t>
            </w:r>
          </w:p>
        </w:tc>
        <w:tc>
          <w:tcPr>
            <w:tcW w:type="dxa" w:w="1179"/>
          </w:tcPr>
          <w:p>
            <w:r/>
            <w:r>
              <w:rPr>
                <w:b w:val="0"/>
                <w:sz w:val="20"/>
              </w:rPr>
              <w:t>✔</w:t>
            </w:r>
          </w:p>
        </w:tc>
        <w:tc>
          <w:tcPr>
            <w:tcW w:type="dxa" w:w="1179"/>
          </w:tcPr>
          <w:p>
            <w:r/>
            <w:r>
              <w:rPr>
                <w:b w:val="0"/>
                <w:sz w:val="20"/>
              </w:rPr>
              <w:t>✔</w:t>
            </w:r>
          </w:p>
        </w:tc>
        <w:tc>
          <w:tcPr>
            <w:tcW w:type="dxa" w:w="1179"/>
          </w:tcPr>
          <w:p>
            <w:r/>
            <w:r>
              <w:rPr>
                <w:b w:val="0"/>
                <w:sz w:val="20"/>
              </w:rPr>
              <w:t>✔</w:t>
            </w:r>
          </w:p>
        </w:tc>
        <w:tc>
          <w:tcPr>
            <w:tcW w:type="dxa" w:w="1179"/>
          </w:tcPr>
          <w:p>
            <w:r/>
            <w:r>
              <w:rPr>
                <w:b w:val="0"/>
                <w:sz w:val="20"/>
              </w:rPr>
            </w:r>
          </w:p>
        </w:tc>
      </w:tr>
      <w:tr>
        <w:tc>
          <w:tcPr>
            <w:tcW w:type="dxa" w:w="3628"/>
          </w:tcPr>
          <w:p>
            <w:r/>
            <w:r>
              <w:rPr>
                <w:b w:val="0"/>
                <w:sz w:val="20"/>
              </w:rPr>
              <w:t>Barème — modifier</w:t>
            </w:r>
          </w:p>
        </w:tc>
        <w:tc>
          <w:tcPr>
            <w:tcW w:type="dxa" w:w="1179"/>
          </w:tcPr>
          <w:p>
            <w:r/>
            <w:r>
              <w:rPr>
                <w:b w:val="0"/>
                <w:sz w:val="20"/>
              </w:rPr>
              <w:t>✔</w:t>
            </w:r>
          </w:p>
        </w:tc>
        <w:tc>
          <w:tcPr>
            <w:tcW w:type="dxa" w:w="1179"/>
          </w:tcPr>
          <w:p>
            <w:r/>
            <w:r>
              <w:rPr>
                <w:b w:val="0"/>
                <w:sz w:val="20"/>
              </w:rPr>
            </w:r>
          </w:p>
        </w:tc>
        <w:tc>
          <w:tcPr>
            <w:tcW w:type="dxa" w:w="1179"/>
          </w:tcPr>
          <w:p>
            <w:r/>
            <w:r>
              <w:rPr>
                <w:b w:val="0"/>
                <w:sz w:val="20"/>
              </w:rPr>
            </w:r>
          </w:p>
        </w:tc>
        <w:tc>
          <w:tcPr>
            <w:tcW w:type="dxa" w:w="1179"/>
          </w:tcPr>
          <w:p>
            <w:r/>
            <w:r>
              <w:rPr>
                <w:b w:val="0"/>
                <w:sz w:val="20"/>
              </w:rPr>
            </w:r>
          </w:p>
        </w:tc>
        <w:tc>
          <w:tcPr>
            <w:tcW w:type="dxa" w:w="1179"/>
          </w:tcPr>
          <w:p>
            <w:r/>
            <w:r>
              <w:rPr>
                <w:b w:val="0"/>
                <w:sz w:val="20"/>
              </w:rPr>
            </w:r>
          </w:p>
        </w:tc>
      </w:tr>
      <w:tr>
        <w:tc>
          <w:tcPr>
            <w:tcW w:type="dxa" w:w="3628"/>
          </w:tcPr>
          <w:p>
            <w:r/>
            <w:r>
              <w:rPr>
                <w:b w:val="0"/>
                <w:sz w:val="20"/>
              </w:rPr>
              <w:t>Rapports — consulter</w:t>
            </w:r>
          </w:p>
        </w:tc>
        <w:tc>
          <w:tcPr>
            <w:tcW w:type="dxa" w:w="1179"/>
          </w:tcPr>
          <w:p>
            <w:r/>
            <w:r>
              <w:rPr>
                <w:b w:val="0"/>
                <w:sz w:val="20"/>
              </w:rPr>
              <w:t>✔</w:t>
            </w:r>
          </w:p>
        </w:tc>
        <w:tc>
          <w:tcPr>
            <w:tcW w:type="dxa" w:w="1179"/>
          </w:tcPr>
          <w:p>
            <w:r/>
            <w:r>
              <w:rPr>
                <w:b w:val="0"/>
                <w:sz w:val="20"/>
              </w:rPr>
              <w:t>✔</w:t>
            </w:r>
          </w:p>
        </w:tc>
        <w:tc>
          <w:tcPr>
            <w:tcW w:type="dxa" w:w="1179"/>
          </w:tcPr>
          <w:p>
            <w:r/>
            <w:r>
              <w:rPr>
                <w:b w:val="0"/>
                <w:sz w:val="20"/>
              </w:rPr>
              <w:t>✔</w:t>
            </w:r>
          </w:p>
        </w:tc>
        <w:tc>
          <w:tcPr>
            <w:tcW w:type="dxa" w:w="1179"/>
          </w:tcPr>
          <w:p>
            <w:r/>
            <w:r>
              <w:rPr>
                <w:b w:val="0"/>
                <w:sz w:val="20"/>
              </w:rPr>
              <w:t>✔</w:t>
            </w:r>
          </w:p>
        </w:tc>
        <w:tc>
          <w:tcPr>
            <w:tcW w:type="dxa" w:w="1179"/>
          </w:tcPr>
          <w:p>
            <w:r/>
            <w:r>
              <w:rPr>
                <w:b w:val="0"/>
                <w:sz w:val="20"/>
              </w:rPr>
              <w:t>✔</w:t>
            </w:r>
          </w:p>
        </w:tc>
      </w:tr>
      <w:tr>
        <w:tc>
          <w:tcPr>
            <w:tcW w:type="dxa" w:w="3628"/>
          </w:tcPr>
          <w:p>
            <w:r/>
            <w:r>
              <w:rPr>
                <w:b w:val="0"/>
                <w:sz w:val="20"/>
              </w:rPr>
              <w:t>Audit — consulter</w:t>
            </w:r>
          </w:p>
        </w:tc>
        <w:tc>
          <w:tcPr>
            <w:tcW w:type="dxa" w:w="1179"/>
          </w:tcPr>
          <w:p>
            <w:r/>
            <w:r>
              <w:rPr>
                <w:b w:val="0"/>
                <w:sz w:val="20"/>
              </w:rPr>
              <w:t>✔</w:t>
            </w:r>
          </w:p>
        </w:tc>
        <w:tc>
          <w:tcPr>
            <w:tcW w:type="dxa" w:w="1179"/>
          </w:tcPr>
          <w:p>
            <w:r/>
            <w:r>
              <w:rPr>
                <w:b w:val="0"/>
                <w:sz w:val="20"/>
              </w:rPr>
            </w:r>
          </w:p>
        </w:tc>
        <w:tc>
          <w:tcPr>
            <w:tcW w:type="dxa" w:w="1179"/>
          </w:tcPr>
          <w:p>
            <w:r/>
            <w:r>
              <w:rPr>
                <w:b w:val="0"/>
                <w:sz w:val="20"/>
              </w:rPr>
            </w:r>
          </w:p>
        </w:tc>
        <w:tc>
          <w:tcPr>
            <w:tcW w:type="dxa" w:w="1179"/>
          </w:tcPr>
          <w:p>
            <w:r/>
            <w:r>
              <w:rPr>
                <w:b w:val="0"/>
                <w:sz w:val="20"/>
              </w:rPr>
              <w:t>✔</w:t>
            </w:r>
          </w:p>
        </w:tc>
        <w:tc>
          <w:tcPr>
            <w:tcW w:type="dxa" w:w="1179"/>
          </w:tcPr>
          <w:p>
            <w:r/>
            <w:r>
              <w:rPr>
                <w:b w:val="0"/>
                <w:sz w:val="20"/>
              </w:rPr>
            </w:r>
          </w:p>
        </w:tc>
      </w:tr>
      <w:tr>
        <w:tc>
          <w:tcPr>
            <w:tcW w:type="dxa" w:w="3628"/>
          </w:tcPr>
          <w:p>
            <w:r/>
            <w:r>
              <w:rPr>
                <w:b w:val="0"/>
                <w:sz w:val="20"/>
              </w:rPr>
              <w:t>Utilisateurs — gérer</w:t>
            </w:r>
          </w:p>
        </w:tc>
        <w:tc>
          <w:tcPr>
            <w:tcW w:type="dxa" w:w="1179"/>
          </w:tcPr>
          <w:p>
            <w:r/>
            <w:r>
              <w:rPr>
                <w:b w:val="0"/>
                <w:sz w:val="20"/>
              </w:rPr>
              <w:t>✔</w:t>
            </w:r>
          </w:p>
        </w:tc>
        <w:tc>
          <w:tcPr>
            <w:tcW w:type="dxa" w:w="1179"/>
          </w:tcPr>
          <w:p>
            <w:r/>
            <w:r>
              <w:rPr>
                <w:b w:val="0"/>
                <w:sz w:val="20"/>
              </w:rPr>
            </w:r>
          </w:p>
        </w:tc>
        <w:tc>
          <w:tcPr>
            <w:tcW w:type="dxa" w:w="1179"/>
          </w:tcPr>
          <w:p>
            <w:r/>
            <w:r>
              <w:rPr>
                <w:b w:val="0"/>
                <w:sz w:val="20"/>
              </w:rPr>
            </w:r>
          </w:p>
        </w:tc>
        <w:tc>
          <w:tcPr>
            <w:tcW w:type="dxa" w:w="1179"/>
          </w:tcPr>
          <w:p>
            <w:r/>
            <w:r>
              <w:rPr>
                <w:b w:val="0"/>
                <w:sz w:val="20"/>
              </w:rPr>
            </w:r>
          </w:p>
        </w:tc>
        <w:tc>
          <w:tcPr>
            <w:tcW w:type="dxa" w:w="1179"/>
          </w:tcPr>
          <w:p>
            <w:r/>
            <w:r>
              <w:rPr>
                <w:b w:val="0"/>
                <w:sz w:val="20"/>
              </w:rPr>
            </w:r>
          </w:p>
        </w:tc>
      </w:tr>
    </w:tbl>
    <w:p/>
    <w:p>
      <w:pPr>
        <w:pStyle w:val="Heading1"/>
      </w:pPr>
      <w:r>
        <w:t>3. Premiers pas</w:t>
      </w:r>
    </w:p>
    <w:p>
      <w:pPr>
        <w:pStyle w:val="Heading2"/>
      </w:pPr>
      <w:r>
        <w:t>3.1 Connexion</w:t>
      </w:r>
    </w:p>
    <w:p>
      <w:pPr>
        <w:pStyle w:val="ListNumber"/>
      </w:pPr>
      <w:r>
        <w:t>Ouvrez l'application dans votre navigateur.</w:t>
      </w:r>
    </w:p>
    <w:p>
      <w:pPr>
        <w:pStyle w:val="ListNumber"/>
      </w:pPr>
      <w:r>
        <w:t>Saisissez votre adresse e-mail professionnelle et votre mot de passe.</w:t>
      </w:r>
    </w:p>
    <w:p>
      <w:pPr>
        <w:pStyle w:val="ListNumber"/>
      </w:pPr>
      <w:r>
        <w:t>Cliquez sur « Se connecter ». Vous arrivez sur le tableau de bord.</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Sécurité : </w:t>
            </w:r>
            <w:r>
              <w:rPr>
                <w:sz w:val="20"/>
              </w:rPr>
              <w:t>Pour votre protection, le message d'erreur en cas d'échec est volontairement identique (« Identifiants incorrects. ») quelle que soit la cause. Après plusieurs tentatives infructueuses, la connexion est temporairement bloquée.</w:t>
            </w:r>
          </w:p>
        </w:tc>
      </w:tr>
    </w:tbl>
    <w:p/>
    <w:p>
      <w:pPr>
        <w:pStyle w:val="Heading2"/>
      </w:pPr>
      <w:r>
        <w:t>3.2 Mot de passe oublié</w:t>
      </w:r>
    </w:p>
    <w:p>
      <w:pPr>
        <w:pStyle w:val="ListNumber"/>
      </w:pPr>
      <w:r>
        <w:t>Sur l'écran de connexion, cliquez sur « Mot de passe oublié ? ».</w:t>
      </w:r>
    </w:p>
    <w:p>
      <w:pPr>
        <w:pStyle w:val="ListNumber"/>
      </w:pPr>
      <w:r>
        <w:t>Saisissez votre e-mail. Un lien de réinitialisation vous est envoyé (si le compte existe).</w:t>
      </w:r>
    </w:p>
    <w:p>
      <w:pPr>
        <w:pStyle w:val="ListNumber"/>
      </w:pPr>
      <w:r>
        <w:t>Suivez le lien reçu, puis définissez un nouveau mot de passe.</w:t>
      </w:r>
    </w:p>
    <w:p>
      <w:pPr>
        <w:pStyle w:val="Heading2"/>
      </w:pPr>
      <w:r>
        <w:t>3.3 Changement de mot de passe obligatoire</w:t>
      </w:r>
    </w:p>
    <w:p>
      <w:r>
        <w:rPr>
          <w:b w:val="0"/>
          <w:i w:val="0"/>
        </w:rPr>
        <w:t>À la création de votre compte ou après une réinitialisation par un administrateur, l'application vous demande de définir un nouveau mot de passe à votre première connexion. Tant que ce changement n'est pas effectué, l'accès aux autres écrans est bloqué.</w:t>
      </w:r>
    </w:p>
    <w:p>
      <w:pPr>
        <w:pStyle w:val="ListNumber"/>
      </w:pPr>
      <w:r>
        <w:t>Saisissez votre mot de passe actuel (temporaire).</w:t>
      </w:r>
    </w:p>
    <w:p>
      <w:pPr>
        <w:pStyle w:val="ListNumber"/>
      </w:pPr>
      <w:r>
        <w:t>Choisissez un nouveau mot de passe : au moins 12 caractères, avec majuscules, minuscules, chiffres et symboles.</w:t>
      </w:r>
    </w:p>
    <w:p>
      <w:pPr>
        <w:pStyle w:val="ListNumber"/>
      </w:pPr>
      <w:r>
        <w:t>Confirmez. Vous accédez ensuite normalement à l'application.</w:t>
      </w:r>
    </w:p>
    <w:p>
      <w:pPr>
        <w:pStyle w:val="Heading1"/>
      </w:pPr>
      <w:r>
        <w:t>4. Tableau de bord</w:t>
      </w:r>
    </w:p>
    <w:p>
      <w:r>
        <w:rPr>
          <w:b w:val="0"/>
          <w:i w:val="0"/>
        </w:rPr>
        <w:t>À la connexion, le tableau de bord présente une vue d'ensemble : indicateurs clés (OM en cours, OM validés, paiements du mois), graphiques et accès rapides aux principales actions. Les indicateurs affichés dépendent de vos droits.</w:t>
      </w:r>
    </w:p>
    <w:p>
      <w:pPr>
        <w:pStyle w:val="Heading1"/>
      </w:pPr>
      <w:r>
        <w:t>5. Gestion du personnel (agents)</w:t>
      </w:r>
    </w:p>
    <w:p>
      <w:r>
        <w:rPr>
          <w:b w:val="0"/>
          <w:i w:val="0"/>
        </w:rPr>
        <w:t>Le référentiel des agents centralise les bénéficiaires. C'est lui qui fournit le téléphone et l'opérateur (MTN / Moov) utilisés pour le paiement — jamais l'ordre de mission.</w:t>
      </w:r>
    </w:p>
    <w:p>
      <w:pPr>
        <w:pStyle w:val="Heading2"/>
      </w:pPr>
      <w:r>
        <w:t>5.1 Consulter la liste</w:t>
      </w:r>
    </w:p>
    <w:p>
      <w:pPr>
        <w:pStyle w:val="ListBullet"/>
      </w:pPr>
      <w:r>
        <w:t>Recherche par nom, matricule ou IFU.</w:t>
      </w:r>
    </w:p>
    <w:p>
      <w:pPr>
        <w:pStyle w:val="ListBullet"/>
      </w:pPr>
      <w:r>
        <w:t>Filtres par catégorie (ORDRE_1/2/3), par opérateur et par statut actif/inactif.</w:t>
      </w:r>
    </w:p>
    <w:p>
      <w:pPr>
        <w:pStyle w:val="ListBullet"/>
      </w:pPr>
      <w:r>
        <w:t>Pagination et accès à la fiche détaillée d'un agent.</w:t>
      </w:r>
    </w:p>
    <w:p>
      <w:pPr>
        <w:pStyle w:val="Heading2"/>
      </w:pPr>
      <w:r>
        <w:t>5.2 Créer ou modifier un agent</w:t>
      </w:r>
    </w:p>
    <w:p>
      <w:r>
        <w:rPr>
          <w:b w:val="0"/>
          <w:i w:val="0"/>
        </w:rPr>
        <w:t>Réservé aux profils disposant de « Personnel — gérer » (GESTIONNAIRE_OM, ADMIN).</w:t>
      </w:r>
    </w:p>
    <w:p>
      <w:pPr>
        <w:pStyle w:val="ListNumber"/>
      </w:pPr>
      <w:r>
        <w:t>Cliquez sur « Nouvel agent » (ou « Modifier » depuis une fiche).</w:t>
      </w:r>
    </w:p>
    <w:p>
      <w:pPr>
        <w:pStyle w:val="ListNumber"/>
      </w:pPr>
      <w:r>
        <w:t>Renseignez l'identité, le matricule, l'indice ou le salaire brut (la catégorie en est déduite).</w:t>
      </w:r>
    </w:p>
    <w:p>
      <w:pPr>
        <w:pStyle w:val="ListNumber"/>
      </w:pPr>
      <w:r>
        <w:t>Saisissez le téléphone (10 chiffres, commençant par 01) et l'opérateur cohérent avec le numéro.</w:t>
      </w:r>
    </w:p>
    <w:p>
      <w:pPr>
        <w:pStyle w:val="ListNumber"/>
      </w:pPr>
      <w:r>
        <w:t>Enregistrez. La catégorie ORDRE_1/2/3 est calculée automatiquement.</w:t>
      </w:r>
    </w:p>
    <w:p>
      <w:pPr>
        <w:pStyle w:val="Heading2"/>
      </w:pPr>
      <w:r>
        <w:t>5.3 Importer des agents (Excel / CSV)</w:t>
      </w:r>
    </w:p>
    <w:p>
      <w:pPr>
        <w:pStyle w:val="ListNumber"/>
      </w:pPr>
      <w:r>
        <w:t>Ouvrez « Import » dans le module Personnel.</w:t>
      </w:r>
    </w:p>
    <w:p>
      <w:pPr>
        <w:pStyle w:val="ListNumber"/>
      </w:pPr>
      <w:r>
        <w:t>Déposez votre fichier Excel/CSV et lancez la prévisualisation.</w:t>
      </w:r>
    </w:p>
    <w:p>
      <w:pPr>
        <w:pStyle w:val="ListNumber"/>
      </w:pPr>
      <w:r>
        <w:t>Consultez le rapport de contrôle : chaque ligne est vérifiée (unicité du matricule et du téléphone, cohérence numéro/opérateur).</w:t>
      </w:r>
    </w:p>
    <w:p>
      <w:pPr>
        <w:pStyle w:val="ListNumber"/>
      </w:pPr>
      <w:r>
        <w:t>Validez l'import.</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À savoir : </w:t>
            </w:r>
            <w:r>
              <w:rPr>
                <w:sz w:val="20"/>
              </w:rPr>
              <w:t>L'import est « tout ou rien » : à la moindre erreur sur une ligne, aucun agent n'est créé (annulation complète). Corrigez le fichier puis relancez.</w:t>
            </w:r>
          </w:p>
        </w:tc>
      </w:tr>
    </w:tbl>
    <w:p/>
    <w:p>
      <w:pPr>
        <w:pStyle w:val="Heading1"/>
      </w:pPr>
      <w:r>
        <w:t>6. Ordres de mission</w:t>
      </w:r>
    </w:p>
    <w:p>
      <w:r>
        <w:rPr>
          <w:b w:val="0"/>
          <w:i w:val="0"/>
        </w:rPr>
        <w:t>C'est le cœur de l'application. Les OM sont retranscrits depuis SEMO ; ils ne sont jamais saisis ni modifiés individuellement à la main après coup.</w:t>
      </w:r>
    </w:p>
    <w:p>
      <w:pPr>
        <w:pStyle w:val="Heading2"/>
      </w:pPr>
      <w:r>
        <w:t>6.1 Retranscrire une mission (assistant en 3 étapes)</w:t>
      </w:r>
    </w:p>
    <w:p>
      <w:r>
        <w:rPr>
          <w:b w:val="0"/>
          <w:i w:val="0"/>
        </w:rPr>
        <w:t>Réservé au GESTIONNAIRE_OM (permission « OM — retranscrire »). Une mission regroupe plusieurs bénéficiaires (participants + CAV).</w:t>
      </w:r>
    </w:p>
    <w:p>
      <w:pPr>
        <w:pStyle w:val="Heading3"/>
      </w:pPr>
      <w:r>
        <w:t>Étape 1 — Contexte de la mission</w:t>
      </w:r>
    </w:p>
    <w:p>
      <w:pPr>
        <w:pStyle w:val="ListBullet"/>
      </w:pPr>
      <w:r>
        <w:t>Objet, destination, zone (déduite de la destination), dates de départ et de retour.</w:t>
      </w:r>
    </w:p>
    <w:p>
      <w:pPr>
        <w:pStyle w:val="ListBullet"/>
      </w:pPr>
      <w:r>
        <w:t>Indiquez s'il y a prise en charge par un tiers (exonération : aucun frais alloué).</w:t>
      </w:r>
    </w:p>
    <w:p>
      <w:pPr>
        <w:pStyle w:val="Heading3"/>
      </w:pPr>
      <w:r>
        <w:t>Étape 2 — Bénéficiaires</w:t>
      </w:r>
    </w:p>
    <w:p>
      <w:pPr>
        <w:pStyle w:val="ListBullet"/>
      </w:pPr>
      <w:r>
        <w:t>Ajoutez chaque bénéficiaire (participant ou CAV) avec sa référence SEMO unique et son type de prise en charge.</w:t>
      </w:r>
    </w:p>
    <w:p>
      <w:pPr>
        <w:pStyle w:val="ListBullet"/>
      </w:pPr>
      <w:r>
        <w:t>Le per diem (montant total, avance, reliquat) se calcule en temps réel pour chaque bénéficiaire.</w:t>
      </w:r>
    </w:p>
    <w:p>
      <w:pPr>
        <w:pStyle w:val="ListBullet"/>
      </w:pPr>
      <w:r>
        <w:t>Les doublons de référence SEMO sont détectés immédiatement.</w:t>
      </w:r>
    </w:p>
    <w:p>
      <w:pPr>
        <w:pStyle w:val="Heading3"/>
      </w:pPr>
      <w:r>
        <w:t>Étape 3 — Récapitulatif</w:t>
      </w:r>
    </w:p>
    <w:p>
      <w:pPr>
        <w:pStyle w:val="ListBullet"/>
      </w:pPr>
      <w:r>
        <w:t>Vérifiez les totaux (avance / reliquat) puis enregistrez.</w:t>
      </w:r>
    </w:p>
    <w:p>
      <w:r>
        <w:rPr>
          <w:b w:val="0"/>
          <w:i w:val="0"/>
        </w:rPr>
        <w:t>À l'enregistrement, chaque OM est créé au statut IMPORTE, accompagné de ses versements AVANCE et RELIQUAT (sauf exonération).</w:t>
      </w:r>
    </w:p>
    <w:p>
      <w:pPr>
        <w:pStyle w:val="Heading2"/>
      </w:pPr>
      <w:r>
        <w:t>6.2 Consulter un ordre de mission</w:t>
      </w:r>
    </w:p>
    <w:p>
      <w:pPr>
        <w:pStyle w:val="ListBullet"/>
      </w:pPr>
      <w:r>
        <w:t>Liste filtrable par statut, zone, opérateur, agent, dates ; recherche par référence SEMO.</w:t>
      </w:r>
    </w:p>
    <w:p>
      <w:pPr>
        <w:pStyle w:val="ListBullet"/>
      </w:pPr>
      <w:r>
        <w:t>La fiche détaillée affiche la mission, le bénéficiaire, les montants et les versements.</w:t>
      </w:r>
    </w:p>
    <w:p>
      <w:pPr>
        <w:pStyle w:val="ListBullet"/>
      </w:pPr>
      <w:r>
        <w:t>Téléchargement du PDF officiel de l'OM et consultation de son journal d'audit.</w:t>
      </w:r>
    </w:p>
    <w:p>
      <w:pPr>
        <w:pStyle w:val="Heading2"/>
      </w:pPr>
      <w:r>
        <w:t>6.3 Valider ou rejeter un ordre de mission</w:t>
      </w:r>
    </w:p>
    <w:p>
      <w:r>
        <w:rPr>
          <w:b w:val="0"/>
          <w:i w:val="0"/>
        </w:rPr>
        <w:t>Réservé au CONTROLEUR (permission « OM — valider »). La validation est un PRÉALABLE OBLIGATOIRE au paiement.</w:t>
      </w:r>
    </w:p>
    <w:p>
      <w:pPr>
        <w:pStyle w:val="ListNumber"/>
      </w:pPr>
      <w:r>
        <w:t>Ouvrez la fiche de l'OM (statut IMPORTE).</w:t>
      </w:r>
    </w:p>
    <w:p>
      <w:pPr>
        <w:pStyle w:val="ListNumber"/>
      </w:pPr>
      <w:r>
        <w:t>Cliquez sur « Valider » : l'OM passe au statut VALIDE.</w:t>
      </w:r>
    </w:p>
    <w:p>
      <w:pPr>
        <w:pStyle w:val="ListNumber"/>
      </w:pPr>
      <w:r>
        <w:t>Ou cliquez sur « Rejeter » et saisissez un motif d'au moins 10 caractères : l'OM passe au statut REJETE.</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Règle essentielle : </w:t>
            </w:r>
            <w:r>
              <w:rPr>
                <w:sz w:val="20"/>
              </w:rPr>
              <w:t>Un ordre de mission non validé (resté IMPORTE) ne peut pas être payé : il n'apparaît pas parmi les bénéficiaires éligibles lors de la génération d'un fichier de paiement.</w:t>
            </w:r>
          </w:p>
        </w:tc>
      </w:tr>
    </w:tbl>
    <w:p/>
    <w:p>
      <w:pPr>
        <w:pStyle w:val="Heading1"/>
      </w:pPr>
      <w:r>
        <w:t>7. Calcul du per diem</w:t>
      </w:r>
    </w:p>
    <w:p>
      <w:r>
        <w:rPr>
          <w:b w:val="0"/>
          <w:i w:val="0"/>
        </w:rPr>
        <w:t>Le montant est calculé automatiquement par l'application :</w:t>
      </w:r>
    </w:p>
    <w:p>
      <w:r>
        <w:rPr>
          <w:b/>
          <w:i w:val="0"/>
        </w:rPr>
        <w:t>Montant total = taux journalier (catégorie × zone × type de prise en charge) × nombre de jours.</w:t>
      </w:r>
    </w:p>
    <w:p>
      <w:pPr>
        <w:pStyle w:val="ListBullet"/>
      </w:pPr>
      <w:r>
        <w:t>Nombre de jours : décompte inclusif des dates (règle des 12 h : une période ≥ 12 h compte pour un jour entier).</w:t>
      </w:r>
    </w:p>
    <w:p>
      <w:pPr>
        <w:pStyle w:val="ListBullet"/>
      </w:pPr>
      <w:r>
        <w:t>Avance = arrondi de (montant total ÷ 3), soit 33,33 %.</w:t>
      </w:r>
    </w:p>
    <w:p>
      <w:pPr>
        <w:pStyle w:val="ListBullet"/>
      </w:pPr>
      <w:r>
        <w:t>Reliquat = montant total − avance, soit 66,67 %.</w:t>
      </w:r>
    </w:p>
    <w:p>
      <w:pPr>
        <w:pStyle w:val="ListBullet"/>
      </w:pPr>
      <w:r>
        <w:t>Exonération (prise en charge par un tiers) : tous les montants sont à 0, aucun versement n'est créé.</w:t>
      </w:r>
    </w:p>
    <w:p>
      <w:r>
        <w:rPr>
          <w:b w:val="0"/>
          <w:i w:val="0"/>
        </w:rPr>
        <w:t>Les 4 zones sont : INTERIEUR, EXT_ZONE_I, EXT_ZONE_II et EXT_ZONE_III (les zones II et III ont des taux identiques). Les types « repas » (un repas, deux repas) ne s'appliquent qu'à l'intérieur ; les types d'hébergement (logé/nourri…) ne s'appliquent qu'à l'extérieur.</w:t>
      </w:r>
    </w:p>
    <w:p>
      <w:pPr>
        <w:pStyle w:val="Heading1"/>
      </w:pPr>
      <w:r>
        <w:t>8. Paiements</w:t>
      </w:r>
    </w:p>
    <w:p>
      <w:r>
        <w:rPr>
          <w:b w:val="0"/>
          <w:i w:val="0"/>
        </w:rPr>
        <w:t>L'application GÉNÈRE des fichiers de paiement ; elle ne décaisse pas. Réservé à l'AGENT_FINANCIER.</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Préalable : </w:t>
            </w:r>
            <w:r>
              <w:rPr>
                <w:sz w:val="20"/>
              </w:rPr>
              <w:t>Seuls les ordres de mission au statut VALIDE sont payables. Un versement déjà CONFIRMÉ n'est jamais réinclus dans un nouveau fichier (protection anti-double-paiement).</w:t>
            </w:r>
          </w:p>
        </w:tc>
      </w:tr>
    </w:tbl>
    <w:p/>
    <w:p>
      <w:pPr>
        <w:pStyle w:val="Heading2"/>
      </w:pPr>
      <w:r>
        <w:t>8.1 Générer un fichier de paiement (MTN ou Moov)</w:t>
      </w:r>
    </w:p>
    <w:p>
      <w:pPr>
        <w:pStyle w:val="ListNumber"/>
      </w:pPr>
      <w:r>
        <w:t>Ouvrez « Paiements MTN » ou « Paiements Moov ».</w:t>
      </w:r>
    </w:p>
    <w:p>
      <w:pPr>
        <w:pStyle w:val="ListNumber"/>
      </w:pPr>
      <w:r>
        <w:t>Sélectionnez la mission, la tranche (AVANCE ou RELIQUAT) et l'opérateur.</w:t>
      </w:r>
    </w:p>
    <w:p>
      <w:pPr>
        <w:pStyle w:val="ListNumber"/>
      </w:pPr>
      <w:r>
        <w:t>Cliquez sur « Prévisualiser » : la liste des bénéficiaires éligibles s'affiche.</w:t>
      </w:r>
    </w:p>
    <w:p>
      <w:pPr>
        <w:pStyle w:val="ListNumber"/>
      </w:pPr>
      <w:r>
        <w:t>Cliquez sur « Générer » : le fichier (.txt pour MTN, .xlsx pour Moov) est téléchargé. Le lot passe au statut GÉNÉRÉ.</w:t>
      </w:r>
    </w:p>
    <w:p>
      <w:r>
        <w:rPr>
          <w:b w:val="0"/>
          <w:i w:val="0"/>
        </w:rPr>
        <w:t>Pour un volume important, la génération se fait en arrière-plan ; un suivi vous informe lorsque le fichier est prêt.</w:t>
      </w:r>
    </w:p>
    <w:p>
      <w:pPr>
        <w:pStyle w:val="Heading2"/>
      </w:pPr>
      <w:r>
        <w:t>8.2 Déposer puis confirmer</w:t>
      </w:r>
    </w:p>
    <w:p>
      <w:pPr>
        <w:pStyle w:val="ListNumber"/>
      </w:pPr>
      <w:r>
        <w:t>Déposez le fichier généré sur la plateforme de l'opérateur (hors application).</w:t>
      </w:r>
    </w:p>
    <w:p>
      <w:pPr>
        <w:pStyle w:val="ListNumber"/>
      </w:pPr>
      <w:r>
        <w:t>Une fois le dépôt réussi, revenez dans l'application et cliquez sur « Confirmer » pour le lot.</w:t>
      </w:r>
    </w:p>
    <w:p>
      <w:pPr>
        <w:pStyle w:val="ListNumber"/>
      </w:pPr>
      <w:r>
        <w:t>Le lot et ses versements passent au statut CONFIRMÉ et sont horodatés. L'OM dont tous les versements sont confirmés passe au statut SOLDÉ.</w:t>
      </w:r>
    </w:p>
    <w:p>
      <w:pPr>
        <w:pStyle w:val="Heading2"/>
      </w:pPr>
      <w:r>
        <w:t>8.3 Régénérer ou signaler une erreur</w:t>
      </w:r>
    </w:p>
    <w:p>
      <w:pPr>
        <w:pStyle w:val="ListBullet"/>
      </w:pPr>
      <w:r>
        <w:t>Tant qu'un lot n'est pas confirmé, vous pouvez le régénérer.</w:t>
      </w:r>
    </w:p>
    <w:p>
      <w:pPr>
        <w:pStyle w:val="ListBullet"/>
      </w:pPr>
      <w:r>
        <w:t>En cas de problème de dépôt, marquez le lot « en erreur » : cela réautorise une nouvelle génération.</w:t>
      </w:r>
    </w:p>
    <w:p>
      <w:pPr>
        <w:pStyle w:val="ListBullet"/>
      </w:pPr>
      <w:r>
        <w:t>Un lot confirmé est définitif : il ne peut plus être régénéré.</w:t>
      </w:r>
    </w:p>
    <w:p>
      <w:pPr>
        <w:pStyle w:val="Heading2"/>
      </w:pPr>
      <w:r>
        <w:t>8.4 Suivi des paiements</w:t>
      </w:r>
    </w:p>
    <w:p>
      <w:pPr>
        <w:pStyle w:val="ListBullet"/>
      </w:pPr>
      <w:r>
        <w:t>« Statuts » : synthèse des versements par opérateur et par statut.</w:t>
      </w:r>
    </w:p>
    <w:p>
      <w:pPr>
        <w:pStyle w:val="ListBullet"/>
      </w:pPr>
      <w:r>
        <w:t>« Historique » : versements confirmés, filtrables par période.</w:t>
      </w:r>
    </w:p>
    <w:p>
      <w:pPr>
        <w:pStyle w:val="ListBullet"/>
      </w:pPr>
      <w:r>
        <w:t>« Réconciliation » : rappel du modèle manuel (aucun réimport de fichier opérateur).</w:t>
      </w:r>
    </w:p>
    <w:p>
      <w:pPr>
        <w:pStyle w:val="Heading1"/>
      </w:pPr>
      <w:r>
        <w:t>9. Barème per diem</w:t>
      </w:r>
    </w:p>
    <w:p>
      <w:pPr>
        <w:pStyle w:val="ListBullet"/>
      </w:pPr>
      <w:r>
        <w:t>Consultation : accessible à tous les profils internes (« Barème — consulter »).</w:t>
      </w:r>
    </w:p>
    <w:p>
      <w:pPr>
        <w:pStyle w:val="ListBullet"/>
      </w:pPr>
      <w:r>
        <w:t>Modification des taux : réservée à l'ADMIN (« Barème — modifier »).</w:t>
      </w:r>
    </w:p>
    <w:p>
      <w:r>
        <w:rPr>
          <w:b w:val="0"/>
          <w:i w:val="0"/>
        </w:rPr>
        <w:t>Le détail complet des taux figure en Annexe B.</w:t>
      </w:r>
    </w:p>
    <w:p>
      <w:pPr>
        <w:pStyle w:val="Heading1"/>
      </w:pPr>
      <w:r>
        <w:t>10. Rapports et états</w:t>
      </w:r>
    </w:p>
    <w:p>
      <w:r>
        <w:rPr>
          <w:b w:val="0"/>
          <w:i w:val="0"/>
        </w:rPr>
        <w:t>Les états sont alimentés par les versements confirmés.</w:t>
      </w:r>
    </w:p>
    <w:p>
      <w:pPr>
        <w:pStyle w:val="ListBullet"/>
      </w:pPr>
      <w:r>
        <w:t>Rapport mensuel : synthèse par opérateur, par tranche et par statut.</w:t>
      </w:r>
    </w:p>
    <w:p>
      <w:pPr>
        <w:pStyle w:val="ListBullet"/>
      </w:pPr>
      <w:r>
        <w:t>Par agent, par opérateur, par zone, par imputation budgétaire.</w:t>
      </w:r>
    </w:p>
    <w:p>
      <w:pPr>
        <w:pStyle w:val="ListBullet"/>
      </w:pPr>
      <w:r>
        <w:t>Export Excel ou PDF (immédiat ou en arrière-plan pour les gros volumes).</w:t>
      </w:r>
    </w:p>
    <w:p>
      <w:pPr>
        <w:pStyle w:val="Heading1"/>
      </w:pPr>
      <w:r>
        <w:t>11. Journal d'audit</w:t>
      </w:r>
    </w:p>
    <w:p>
      <w:r>
        <w:rPr>
          <w:b w:val="0"/>
          <w:i w:val="0"/>
        </w:rPr>
        <w:t>Le journal trace les actions sensibles : qui a fait quoi, quand, et depuis quelle adresse IP (retranscription, validation/rejet, génération et confirmation de paiement, gestion des comptes…). Accessible à l'ADMIN et au CONTROLEUR. Chaque entrée peut être consultée en détail.</w:t>
      </w:r>
    </w:p>
    <w:p>
      <w:pPr>
        <w:pStyle w:val="Heading1"/>
      </w:pPr>
      <w:r>
        <w:t>12. Administration</w:t>
      </w:r>
    </w:p>
    <w:p>
      <w:r>
        <w:rPr>
          <w:b w:val="0"/>
          <w:i w:val="0"/>
        </w:rPr>
        <w:t>Module réservé aux administrateurs.</w:t>
      </w:r>
    </w:p>
    <w:p>
      <w:pPr>
        <w:pStyle w:val="Heading2"/>
      </w:pPr>
      <w:r>
        <w:t>12.1 Gestion des utilisateurs</w:t>
      </w:r>
    </w:p>
    <w:p>
      <w:pPr>
        <w:pStyle w:val="ListBullet"/>
      </w:pPr>
      <w:r>
        <w:t>Créer, modifier, activer/désactiver, supprimer des comptes ; réinitialiser un mot de passe.</w:t>
      </w:r>
    </w:p>
    <w:p>
      <w:pPr>
        <w:pStyle w:val="ListBullet"/>
      </w:pPr>
      <w:r>
        <w:t>Toute action sur un super administrateur est réservée à un super administrateur.</w:t>
      </w:r>
    </w:p>
    <w:p>
      <w:pPr>
        <w:pStyle w:val="ListBullet"/>
      </w:pPr>
      <w:r>
        <w:t>Le dernier super administrateur actif ne peut être ni rétrogradé, ni désactivé, ni supprimé.</w:t>
      </w:r>
    </w:p>
    <w:p>
      <w:pPr>
        <w:pStyle w:val="ListBullet"/>
      </w:pPr>
      <w:r>
        <w:t>On ne peut pas désactiver ou supprimer son propre compte.</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Sécurité des sessions : </w:t>
            </w:r>
            <w:r>
              <w:rPr>
                <w:sz w:val="20"/>
              </w:rPr>
              <w:t>Lorsqu'un compte est désactivé, supprimé, change de rôle ou voit son mot de passe réinitialisé, ses sessions actives sont immédiatement révoquées.</w:t>
            </w:r>
          </w:p>
        </w:tc>
      </w:tr>
    </w:tbl>
    <w:p/>
    <w:p>
      <w:pPr>
        <w:pStyle w:val="Heading2"/>
      </w:pPr>
      <w:r>
        <w:t>12.2 Autres écrans d'administration</w:t>
      </w:r>
    </w:p>
    <w:p>
      <w:pPr>
        <w:pStyle w:val="ListBullet"/>
      </w:pPr>
      <w:r>
        <w:t>Rôles : matrice des permissions par profil (consultation).</w:t>
      </w:r>
    </w:p>
    <w:p>
      <w:pPr>
        <w:pStyle w:val="ListBullet"/>
      </w:pPr>
      <w:r>
        <w:t>Paramètres : configuration générale de l'application.</w:t>
      </w:r>
    </w:p>
    <w:p>
      <w:pPr>
        <w:pStyle w:val="ListBullet"/>
      </w:pPr>
      <w:r>
        <w:t>Configuration e-mail (SMTP) : le mot de passe est stocké chiffré et n'est jamais réaffiché en clair.</w:t>
      </w:r>
    </w:p>
    <w:p>
      <w:pPr>
        <w:pStyle w:val="ListBullet"/>
      </w:pPr>
      <w:r>
        <w:t>Sauvegardes : création et gestion des sauvegardes de la base de données.</w:t>
      </w:r>
    </w:p>
    <w:p>
      <w:r>
        <w:br w:type="page"/>
      </w:r>
    </w:p>
    <w:p>
      <w:pPr>
        <w:pStyle w:val="Heading1"/>
      </w:pPr>
      <w:r>
        <w:t>Annexe A — Statuts</w:t>
      </w:r>
    </w:p>
    <w:p>
      <w:pPr>
        <w:pStyle w:val="Heading2"/>
      </w:pPr>
      <w:r>
        <w:t>Ordre de mission</w:t>
      </w:r>
    </w:p>
    <w:tbl>
      <w:tblPr>
        <w:tblStyle w:val="TableGrid"/>
        <w:tblW w:type="auto" w:w="0"/>
        <w:jc w:val="center"/>
        <w:tblLook w:firstColumn="1" w:firstRow="1" w:lastColumn="0" w:lastRow="0" w:noHBand="0" w:noVBand="1" w:val="04A0"/>
      </w:tblPr>
      <w:tblGrid>
        <w:gridCol w:w="4320"/>
        <w:gridCol w:w="4320"/>
      </w:tblGrid>
      <w:tr>
        <w:tc>
          <w:tcPr>
            <w:tcW w:type="dxa" w:w="2268"/>
            <w:shd w:val="clear" w:fill="1D9E4F"/>
          </w:tcPr>
          <w:p>
            <w:r/>
            <w:r>
              <w:rPr>
                <w:b/>
                <w:color w:val="FFFFFF"/>
                <w:sz w:val="20"/>
              </w:rPr>
              <w:t>Statut</w:t>
            </w:r>
          </w:p>
        </w:tc>
        <w:tc>
          <w:tcPr>
            <w:tcW w:type="dxa" w:w="7257"/>
            <w:shd w:val="clear" w:fill="1D9E4F"/>
          </w:tcPr>
          <w:p>
            <w:r/>
            <w:r>
              <w:rPr>
                <w:b/>
                <w:color w:val="FFFFFF"/>
                <w:sz w:val="20"/>
              </w:rPr>
              <w:t>Signification</w:t>
            </w:r>
          </w:p>
        </w:tc>
      </w:tr>
      <w:tr>
        <w:tc>
          <w:tcPr>
            <w:tcW w:type="dxa" w:w="2268"/>
          </w:tcPr>
          <w:p>
            <w:r/>
            <w:r>
              <w:rPr>
                <w:b w:val="0"/>
                <w:sz w:val="20"/>
              </w:rPr>
              <w:t>IMPORTE</w:t>
            </w:r>
          </w:p>
        </w:tc>
        <w:tc>
          <w:tcPr>
            <w:tcW w:type="dxa" w:w="7257"/>
          </w:tcPr>
          <w:p>
            <w:r/>
            <w:r>
              <w:rPr>
                <w:b w:val="0"/>
                <w:sz w:val="20"/>
              </w:rPr>
              <w:t>Retranscrit, en attente de validation.</w:t>
            </w:r>
          </w:p>
        </w:tc>
      </w:tr>
      <w:tr>
        <w:tc>
          <w:tcPr>
            <w:tcW w:type="dxa" w:w="2268"/>
          </w:tcPr>
          <w:p>
            <w:r/>
            <w:r>
              <w:rPr>
                <w:b w:val="0"/>
                <w:sz w:val="20"/>
              </w:rPr>
              <w:t>VALIDE</w:t>
            </w:r>
          </w:p>
        </w:tc>
        <w:tc>
          <w:tcPr>
            <w:tcW w:type="dxa" w:w="7257"/>
          </w:tcPr>
          <w:p>
            <w:r/>
            <w:r>
              <w:rPr>
                <w:b w:val="0"/>
                <w:sz w:val="20"/>
              </w:rPr>
              <w:t>Validé par le contrôleur — payable.</w:t>
            </w:r>
          </w:p>
        </w:tc>
      </w:tr>
      <w:tr>
        <w:tc>
          <w:tcPr>
            <w:tcW w:type="dxa" w:w="2268"/>
          </w:tcPr>
          <w:p>
            <w:r/>
            <w:r>
              <w:rPr>
                <w:b w:val="0"/>
                <w:sz w:val="20"/>
              </w:rPr>
              <w:t>REJETE</w:t>
            </w:r>
          </w:p>
        </w:tc>
        <w:tc>
          <w:tcPr>
            <w:tcW w:type="dxa" w:w="7257"/>
          </w:tcPr>
          <w:p>
            <w:r/>
            <w:r>
              <w:rPr>
                <w:b w:val="0"/>
                <w:sz w:val="20"/>
              </w:rPr>
              <w:t>Rejeté (avec motif).</w:t>
            </w:r>
          </w:p>
        </w:tc>
      </w:tr>
      <w:tr>
        <w:tc>
          <w:tcPr>
            <w:tcW w:type="dxa" w:w="2268"/>
          </w:tcPr>
          <w:p>
            <w:r/>
            <w:r>
              <w:rPr>
                <w:b w:val="0"/>
                <w:sz w:val="20"/>
              </w:rPr>
              <w:t>SOLDE</w:t>
            </w:r>
          </w:p>
        </w:tc>
        <w:tc>
          <w:tcPr>
            <w:tcW w:type="dxa" w:w="7257"/>
          </w:tcPr>
          <w:p>
            <w:r/>
            <w:r>
              <w:rPr>
                <w:b w:val="0"/>
                <w:sz w:val="20"/>
              </w:rPr>
              <w:t>Tous les versements ont été confirmés.</w:t>
            </w:r>
          </w:p>
        </w:tc>
      </w:tr>
    </w:tbl>
    <w:p/>
    <w:p>
      <w:pPr>
        <w:pStyle w:val="Heading2"/>
      </w:pPr>
      <w:r>
        <w:t>Versement</w:t>
      </w:r>
    </w:p>
    <w:tbl>
      <w:tblPr>
        <w:tblStyle w:val="TableGrid"/>
        <w:tblW w:type="auto" w:w="0"/>
        <w:jc w:val="center"/>
        <w:tblLook w:firstColumn="1" w:firstRow="1" w:lastColumn="0" w:lastRow="0" w:noHBand="0" w:noVBand="1" w:val="04A0"/>
      </w:tblPr>
      <w:tblGrid>
        <w:gridCol w:w="4320"/>
        <w:gridCol w:w="4320"/>
      </w:tblGrid>
      <w:tr>
        <w:tc>
          <w:tcPr>
            <w:tcW w:type="dxa" w:w="2268"/>
            <w:shd w:val="clear" w:fill="1D9E4F"/>
          </w:tcPr>
          <w:p>
            <w:r/>
            <w:r>
              <w:rPr>
                <w:b/>
                <w:color w:val="FFFFFF"/>
                <w:sz w:val="20"/>
              </w:rPr>
              <w:t>Statut</w:t>
            </w:r>
          </w:p>
        </w:tc>
        <w:tc>
          <w:tcPr>
            <w:tcW w:type="dxa" w:w="7257"/>
            <w:shd w:val="clear" w:fill="1D9E4F"/>
          </w:tcPr>
          <w:p>
            <w:r/>
            <w:r>
              <w:rPr>
                <w:b/>
                <w:color w:val="FFFFFF"/>
                <w:sz w:val="20"/>
              </w:rPr>
              <w:t>Signification</w:t>
            </w:r>
          </w:p>
        </w:tc>
      </w:tr>
      <w:tr>
        <w:tc>
          <w:tcPr>
            <w:tcW w:type="dxa" w:w="2268"/>
          </w:tcPr>
          <w:p>
            <w:r/>
            <w:r>
              <w:rPr>
                <w:b w:val="0"/>
                <w:sz w:val="20"/>
              </w:rPr>
              <w:t>EN_ATTENTE</w:t>
            </w:r>
          </w:p>
        </w:tc>
        <w:tc>
          <w:tcPr>
            <w:tcW w:type="dxa" w:w="7257"/>
          </w:tcPr>
          <w:p>
            <w:r/>
            <w:r>
              <w:rPr>
                <w:b w:val="0"/>
                <w:sz w:val="20"/>
              </w:rPr>
              <w:t>Créé, pas encore inclus dans un fichier.</w:t>
            </w:r>
          </w:p>
        </w:tc>
      </w:tr>
      <w:tr>
        <w:tc>
          <w:tcPr>
            <w:tcW w:type="dxa" w:w="2268"/>
          </w:tcPr>
          <w:p>
            <w:r/>
            <w:r>
              <w:rPr>
                <w:b w:val="0"/>
                <w:sz w:val="20"/>
              </w:rPr>
              <w:t>GENERE</w:t>
            </w:r>
          </w:p>
        </w:tc>
        <w:tc>
          <w:tcPr>
            <w:tcW w:type="dxa" w:w="7257"/>
          </w:tcPr>
          <w:p>
            <w:r/>
            <w:r>
              <w:rPr>
                <w:b w:val="0"/>
                <w:sz w:val="20"/>
              </w:rPr>
              <w:t>Inclus dans un fichier généré, non confirmé.</w:t>
            </w:r>
          </w:p>
        </w:tc>
      </w:tr>
      <w:tr>
        <w:tc>
          <w:tcPr>
            <w:tcW w:type="dxa" w:w="2268"/>
          </w:tcPr>
          <w:p>
            <w:r/>
            <w:r>
              <w:rPr>
                <w:b w:val="0"/>
                <w:sz w:val="20"/>
              </w:rPr>
              <w:t>CONFIRME</w:t>
            </w:r>
          </w:p>
        </w:tc>
        <w:tc>
          <w:tcPr>
            <w:tcW w:type="dxa" w:w="7257"/>
          </w:tcPr>
          <w:p>
            <w:r/>
            <w:r>
              <w:rPr>
                <w:b w:val="0"/>
                <w:sz w:val="20"/>
              </w:rPr>
              <w:t>Paiement confirmé après dépôt.</w:t>
            </w:r>
          </w:p>
        </w:tc>
      </w:tr>
    </w:tbl>
    <w:p/>
    <w:p>
      <w:pPr>
        <w:pStyle w:val="Heading2"/>
      </w:pPr>
      <w:r>
        <w:t>Lot de paiement</w:t>
      </w:r>
    </w:p>
    <w:tbl>
      <w:tblPr>
        <w:tblStyle w:val="TableGrid"/>
        <w:tblW w:type="auto" w:w="0"/>
        <w:jc w:val="center"/>
        <w:tblLook w:firstColumn="1" w:firstRow="1" w:lastColumn="0" w:lastRow="0" w:noHBand="0" w:noVBand="1" w:val="04A0"/>
      </w:tblPr>
      <w:tblGrid>
        <w:gridCol w:w="4320"/>
        <w:gridCol w:w="4320"/>
      </w:tblGrid>
      <w:tr>
        <w:tc>
          <w:tcPr>
            <w:tcW w:type="dxa" w:w="2268"/>
            <w:shd w:val="clear" w:fill="1D9E4F"/>
          </w:tcPr>
          <w:p>
            <w:r/>
            <w:r>
              <w:rPr>
                <w:b/>
                <w:color w:val="FFFFFF"/>
                <w:sz w:val="20"/>
              </w:rPr>
              <w:t>Statut</w:t>
            </w:r>
          </w:p>
        </w:tc>
        <w:tc>
          <w:tcPr>
            <w:tcW w:type="dxa" w:w="7257"/>
            <w:shd w:val="clear" w:fill="1D9E4F"/>
          </w:tcPr>
          <w:p>
            <w:r/>
            <w:r>
              <w:rPr>
                <w:b/>
                <w:color w:val="FFFFFF"/>
                <w:sz w:val="20"/>
              </w:rPr>
              <w:t>Signification</w:t>
            </w:r>
          </w:p>
        </w:tc>
      </w:tr>
      <w:tr>
        <w:tc>
          <w:tcPr>
            <w:tcW w:type="dxa" w:w="2268"/>
          </w:tcPr>
          <w:p>
            <w:r/>
            <w:r>
              <w:rPr>
                <w:b w:val="0"/>
                <w:sz w:val="20"/>
              </w:rPr>
              <w:t>GENERE</w:t>
            </w:r>
          </w:p>
        </w:tc>
        <w:tc>
          <w:tcPr>
            <w:tcW w:type="dxa" w:w="7257"/>
          </w:tcPr>
          <w:p>
            <w:r/>
            <w:r>
              <w:rPr>
                <w:b w:val="0"/>
                <w:sz w:val="20"/>
              </w:rPr>
              <w:t>Fichier généré, régénérable.</w:t>
            </w:r>
          </w:p>
        </w:tc>
      </w:tr>
      <w:tr>
        <w:tc>
          <w:tcPr>
            <w:tcW w:type="dxa" w:w="2268"/>
          </w:tcPr>
          <w:p>
            <w:r/>
            <w:r>
              <w:rPr>
                <w:b w:val="0"/>
                <w:sz w:val="20"/>
              </w:rPr>
              <w:t>CONFIRME</w:t>
            </w:r>
          </w:p>
        </w:tc>
        <w:tc>
          <w:tcPr>
            <w:tcW w:type="dxa" w:w="7257"/>
          </w:tcPr>
          <w:p>
            <w:r/>
            <w:r>
              <w:rPr>
                <w:b w:val="0"/>
                <w:sz w:val="20"/>
              </w:rPr>
              <w:t>Paiement confirmé — définitif.</w:t>
            </w:r>
          </w:p>
        </w:tc>
      </w:tr>
      <w:tr>
        <w:tc>
          <w:tcPr>
            <w:tcW w:type="dxa" w:w="2268"/>
          </w:tcPr>
          <w:p>
            <w:r/>
            <w:r>
              <w:rPr>
                <w:b w:val="0"/>
                <w:sz w:val="20"/>
              </w:rPr>
              <w:t>ERREUR</w:t>
            </w:r>
          </w:p>
        </w:tc>
        <w:tc>
          <w:tcPr>
            <w:tcW w:type="dxa" w:w="7257"/>
          </w:tcPr>
          <w:p>
            <w:r/>
            <w:r>
              <w:rPr>
                <w:b w:val="0"/>
                <w:sz w:val="20"/>
              </w:rPr>
              <w:t>Signalé en erreur — régénération autorisée.</w:t>
            </w:r>
          </w:p>
        </w:tc>
      </w:tr>
    </w:tbl>
    <w:p/>
    <w:p>
      <w:r>
        <w:br w:type="page"/>
      </w:r>
    </w:p>
    <w:p>
      <w:pPr>
        <w:pStyle w:val="Heading1"/>
      </w:pPr>
      <w:r>
        <w:t>Annexe B — Barème officiel (FCFA / jour)</w:t>
      </w:r>
    </w:p>
    <w:p>
      <w:pPr>
        <w:pStyle w:val="Heading2"/>
      </w:pPr>
      <w:r>
        <w:t>Zone INTERIEUR</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381"/>
            <w:shd w:val="clear" w:fill="1D9E4F"/>
          </w:tcPr>
          <w:p>
            <w:r/>
            <w:r>
              <w:rPr>
                <w:b/>
                <w:color w:val="FFFFFF"/>
                <w:sz w:val="20"/>
              </w:rPr>
              <w:t>Catégorie</w:t>
            </w:r>
          </w:p>
        </w:tc>
        <w:tc>
          <w:tcPr>
            <w:tcW w:type="dxa" w:w="2381"/>
            <w:shd w:val="clear" w:fill="1D9E4F"/>
          </w:tcPr>
          <w:p>
            <w:r/>
            <w:r>
              <w:rPr>
                <w:b/>
                <w:color w:val="FFFFFF"/>
                <w:sz w:val="20"/>
              </w:rPr>
              <w:t>Un repas</w:t>
            </w:r>
          </w:p>
        </w:tc>
        <w:tc>
          <w:tcPr>
            <w:tcW w:type="dxa" w:w="2381"/>
            <w:shd w:val="clear" w:fill="1D9E4F"/>
          </w:tcPr>
          <w:p>
            <w:r/>
            <w:r>
              <w:rPr>
                <w:b/>
                <w:color w:val="FFFFFF"/>
                <w:sz w:val="20"/>
              </w:rPr>
              <w:t>Deux repas</w:t>
            </w:r>
          </w:p>
        </w:tc>
        <w:tc>
          <w:tcPr>
            <w:tcW w:type="dxa" w:w="2381"/>
            <w:shd w:val="clear" w:fill="1D9E4F"/>
          </w:tcPr>
          <w:p>
            <w:r/>
            <w:r>
              <w:rPr>
                <w:b/>
                <w:color w:val="FFFFFF"/>
                <w:sz w:val="20"/>
              </w:rPr>
              <w:t>Journée complète</w:t>
            </w:r>
          </w:p>
        </w:tc>
      </w:tr>
      <w:tr>
        <w:tc>
          <w:tcPr>
            <w:tcW w:type="dxa" w:w="2381"/>
          </w:tcPr>
          <w:p>
            <w:r/>
            <w:r>
              <w:rPr>
                <w:b w:val="0"/>
                <w:sz w:val="20"/>
              </w:rPr>
              <w:t>ORDRE_1</w:t>
            </w:r>
          </w:p>
        </w:tc>
        <w:tc>
          <w:tcPr>
            <w:tcW w:type="dxa" w:w="2381"/>
          </w:tcPr>
          <w:p>
            <w:r/>
            <w:r>
              <w:rPr>
                <w:b w:val="0"/>
                <w:sz w:val="20"/>
              </w:rPr>
              <w:t>15 000</w:t>
            </w:r>
          </w:p>
        </w:tc>
        <w:tc>
          <w:tcPr>
            <w:tcW w:type="dxa" w:w="2381"/>
          </w:tcPr>
          <w:p>
            <w:r/>
            <w:r>
              <w:rPr>
                <w:b w:val="0"/>
                <w:sz w:val="20"/>
              </w:rPr>
              <w:t>30 000</w:t>
            </w:r>
          </w:p>
        </w:tc>
        <w:tc>
          <w:tcPr>
            <w:tcW w:type="dxa" w:w="2381"/>
          </w:tcPr>
          <w:p>
            <w:r/>
            <w:r>
              <w:rPr>
                <w:b w:val="0"/>
                <w:sz w:val="20"/>
              </w:rPr>
              <w:t>45 000</w:t>
            </w:r>
          </w:p>
        </w:tc>
      </w:tr>
      <w:tr>
        <w:tc>
          <w:tcPr>
            <w:tcW w:type="dxa" w:w="2381"/>
          </w:tcPr>
          <w:p>
            <w:r/>
            <w:r>
              <w:rPr>
                <w:b w:val="0"/>
                <w:sz w:val="20"/>
              </w:rPr>
              <w:t>ORDRE_2</w:t>
            </w:r>
          </w:p>
        </w:tc>
        <w:tc>
          <w:tcPr>
            <w:tcW w:type="dxa" w:w="2381"/>
          </w:tcPr>
          <w:p>
            <w:r/>
            <w:r>
              <w:rPr>
                <w:b w:val="0"/>
                <w:sz w:val="20"/>
              </w:rPr>
              <w:t>10 000</w:t>
            </w:r>
          </w:p>
        </w:tc>
        <w:tc>
          <w:tcPr>
            <w:tcW w:type="dxa" w:w="2381"/>
          </w:tcPr>
          <w:p>
            <w:r/>
            <w:r>
              <w:rPr>
                <w:b w:val="0"/>
                <w:sz w:val="20"/>
              </w:rPr>
              <w:t>20 000</w:t>
            </w:r>
          </w:p>
        </w:tc>
        <w:tc>
          <w:tcPr>
            <w:tcW w:type="dxa" w:w="2381"/>
          </w:tcPr>
          <w:p>
            <w:r/>
            <w:r>
              <w:rPr>
                <w:b w:val="0"/>
                <w:sz w:val="20"/>
              </w:rPr>
              <w:t>35 000</w:t>
            </w:r>
          </w:p>
        </w:tc>
      </w:tr>
      <w:tr>
        <w:tc>
          <w:tcPr>
            <w:tcW w:type="dxa" w:w="2381"/>
          </w:tcPr>
          <w:p>
            <w:r/>
            <w:r>
              <w:rPr>
                <w:b w:val="0"/>
                <w:sz w:val="20"/>
              </w:rPr>
              <w:t>ORDRE_3</w:t>
            </w:r>
          </w:p>
        </w:tc>
        <w:tc>
          <w:tcPr>
            <w:tcW w:type="dxa" w:w="2381"/>
          </w:tcPr>
          <w:p>
            <w:r/>
            <w:r>
              <w:rPr>
                <w:b w:val="0"/>
                <w:sz w:val="20"/>
              </w:rPr>
              <w:t>8 500</w:t>
            </w:r>
          </w:p>
        </w:tc>
        <w:tc>
          <w:tcPr>
            <w:tcW w:type="dxa" w:w="2381"/>
          </w:tcPr>
          <w:p>
            <w:r/>
            <w:r>
              <w:rPr>
                <w:b w:val="0"/>
                <w:sz w:val="20"/>
              </w:rPr>
              <w:t>15 000</w:t>
            </w:r>
          </w:p>
        </w:tc>
        <w:tc>
          <w:tcPr>
            <w:tcW w:type="dxa" w:w="2381"/>
          </w:tcPr>
          <w:p>
            <w:r/>
            <w:r>
              <w:rPr>
                <w:b w:val="0"/>
                <w:sz w:val="20"/>
              </w:rPr>
              <w:t>30 000</w:t>
            </w:r>
          </w:p>
        </w:tc>
      </w:tr>
    </w:tbl>
    <w:p/>
    <w:p>
      <w:pPr>
        <w:pStyle w:val="Heading2"/>
      </w:pPr>
      <w:r>
        <w:t>Zone EXT_ZONE_I</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871"/>
            <w:shd w:val="clear" w:fill="1D9E4F"/>
          </w:tcPr>
          <w:p>
            <w:r/>
            <w:r>
              <w:rPr>
                <w:b/>
                <w:color w:val="FFFFFF"/>
                <w:sz w:val="20"/>
              </w:rPr>
              <w:t>Catégorie</w:t>
            </w:r>
          </w:p>
        </w:tc>
        <w:tc>
          <w:tcPr>
            <w:tcW w:type="dxa" w:w="1984"/>
            <w:shd w:val="clear" w:fill="1D9E4F"/>
          </w:tcPr>
          <w:p>
            <w:r/>
            <w:r>
              <w:rPr>
                <w:b/>
                <w:color w:val="FFFFFF"/>
                <w:sz w:val="20"/>
              </w:rPr>
              <w:t>Journée complète</w:t>
            </w:r>
          </w:p>
        </w:tc>
        <w:tc>
          <w:tcPr>
            <w:tcW w:type="dxa" w:w="1871"/>
            <w:shd w:val="clear" w:fill="1D9E4F"/>
          </w:tcPr>
          <w:p>
            <w:r/>
            <w:r>
              <w:rPr>
                <w:b/>
                <w:color w:val="FFFFFF"/>
                <w:sz w:val="20"/>
              </w:rPr>
              <w:t>Logé+nourri</w:t>
            </w:r>
          </w:p>
        </w:tc>
        <w:tc>
          <w:tcPr>
            <w:tcW w:type="dxa" w:w="1871"/>
            <w:shd w:val="clear" w:fill="1D9E4F"/>
          </w:tcPr>
          <w:p>
            <w:r/>
            <w:r>
              <w:rPr>
                <w:b/>
                <w:color w:val="FFFFFF"/>
                <w:sz w:val="20"/>
              </w:rPr>
              <w:t>Logé seul</w:t>
            </w:r>
          </w:p>
        </w:tc>
        <w:tc>
          <w:tcPr>
            <w:tcW w:type="dxa" w:w="1871"/>
            <w:shd w:val="clear" w:fill="1D9E4F"/>
          </w:tcPr>
          <w:p>
            <w:r/>
            <w:r>
              <w:rPr>
                <w:b/>
                <w:color w:val="FFFFFF"/>
                <w:sz w:val="20"/>
              </w:rPr>
              <w:t>Nourri seul</w:t>
            </w:r>
          </w:p>
        </w:tc>
      </w:tr>
      <w:tr>
        <w:tc>
          <w:tcPr>
            <w:tcW w:type="dxa" w:w="1871"/>
          </w:tcPr>
          <w:p>
            <w:r/>
            <w:r>
              <w:rPr>
                <w:b w:val="0"/>
                <w:sz w:val="20"/>
              </w:rPr>
              <w:t>ORDRE_1</w:t>
            </w:r>
          </w:p>
        </w:tc>
        <w:tc>
          <w:tcPr>
            <w:tcW w:type="dxa" w:w="1984"/>
          </w:tcPr>
          <w:p>
            <w:r/>
            <w:r>
              <w:rPr>
                <w:b w:val="0"/>
                <w:sz w:val="20"/>
              </w:rPr>
              <w:t>175 000</w:t>
            </w:r>
          </w:p>
        </w:tc>
        <w:tc>
          <w:tcPr>
            <w:tcW w:type="dxa" w:w="1871"/>
          </w:tcPr>
          <w:p>
            <w:r/>
            <w:r>
              <w:rPr>
                <w:b w:val="0"/>
                <w:sz w:val="20"/>
              </w:rPr>
              <w:t>60 000</w:t>
            </w:r>
          </w:p>
        </w:tc>
        <w:tc>
          <w:tcPr>
            <w:tcW w:type="dxa" w:w="1871"/>
          </w:tcPr>
          <w:p>
            <w:r/>
            <w:r>
              <w:rPr>
                <w:b w:val="0"/>
                <w:sz w:val="20"/>
              </w:rPr>
              <w:t>90 000</w:t>
            </w:r>
          </w:p>
        </w:tc>
        <w:tc>
          <w:tcPr>
            <w:tcW w:type="dxa" w:w="1871"/>
          </w:tcPr>
          <w:p>
            <w:r/>
            <w:r>
              <w:rPr>
                <w:b w:val="0"/>
                <w:sz w:val="20"/>
              </w:rPr>
              <w:t>120 000</w:t>
            </w:r>
          </w:p>
        </w:tc>
      </w:tr>
      <w:tr>
        <w:tc>
          <w:tcPr>
            <w:tcW w:type="dxa" w:w="1871"/>
          </w:tcPr>
          <w:p>
            <w:r/>
            <w:r>
              <w:rPr>
                <w:b w:val="0"/>
                <w:sz w:val="20"/>
              </w:rPr>
              <w:t>ORDRE_2</w:t>
            </w:r>
          </w:p>
        </w:tc>
        <w:tc>
          <w:tcPr>
            <w:tcW w:type="dxa" w:w="1984"/>
          </w:tcPr>
          <w:p>
            <w:r/>
            <w:r>
              <w:rPr>
                <w:b w:val="0"/>
                <w:sz w:val="20"/>
              </w:rPr>
              <w:t>140 000</w:t>
            </w:r>
          </w:p>
        </w:tc>
        <w:tc>
          <w:tcPr>
            <w:tcW w:type="dxa" w:w="1871"/>
          </w:tcPr>
          <w:p>
            <w:r/>
            <w:r>
              <w:rPr>
                <w:b w:val="0"/>
                <w:sz w:val="20"/>
              </w:rPr>
              <w:t>50 000</w:t>
            </w:r>
          </w:p>
        </w:tc>
        <w:tc>
          <w:tcPr>
            <w:tcW w:type="dxa" w:w="1871"/>
          </w:tcPr>
          <w:p>
            <w:r/>
            <w:r>
              <w:rPr>
                <w:b w:val="0"/>
                <w:sz w:val="20"/>
              </w:rPr>
              <w:t>70 000</w:t>
            </w:r>
          </w:p>
        </w:tc>
        <w:tc>
          <w:tcPr>
            <w:tcW w:type="dxa" w:w="1871"/>
          </w:tcPr>
          <w:p>
            <w:r/>
            <w:r>
              <w:rPr>
                <w:b w:val="0"/>
                <w:sz w:val="20"/>
              </w:rPr>
              <w:t>95 000</w:t>
            </w:r>
          </w:p>
        </w:tc>
      </w:tr>
      <w:tr>
        <w:tc>
          <w:tcPr>
            <w:tcW w:type="dxa" w:w="1871"/>
          </w:tcPr>
          <w:p>
            <w:r/>
            <w:r>
              <w:rPr>
                <w:b w:val="0"/>
                <w:sz w:val="20"/>
              </w:rPr>
              <w:t>ORDRE_3</w:t>
            </w:r>
          </w:p>
        </w:tc>
        <w:tc>
          <w:tcPr>
            <w:tcW w:type="dxa" w:w="1984"/>
          </w:tcPr>
          <w:p>
            <w:r/>
            <w:r>
              <w:rPr>
                <w:b w:val="0"/>
                <w:sz w:val="20"/>
              </w:rPr>
              <w:t>105 000</w:t>
            </w:r>
          </w:p>
        </w:tc>
        <w:tc>
          <w:tcPr>
            <w:tcW w:type="dxa" w:w="1871"/>
          </w:tcPr>
          <w:p>
            <w:r/>
            <w:r>
              <w:rPr>
                <w:b w:val="0"/>
                <w:sz w:val="20"/>
              </w:rPr>
              <w:t>35 000</w:t>
            </w:r>
          </w:p>
        </w:tc>
        <w:tc>
          <w:tcPr>
            <w:tcW w:type="dxa" w:w="1871"/>
          </w:tcPr>
          <w:p>
            <w:r/>
            <w:r>
              <w:rPr>
                <w:b w:val="0"/>
                <w:sz w:val="20"/>
              </w:rPr>
              <w:t>55 000</w:t>
            </w:r>
          </w:p>
        </w:tc>
        <w:tc>
          <w:tcPr>
            <w:tcW w:type="dxa" w:w="1871"/>
          </w:tcPr>
          <w:p>
            <w:r/>
            <w:r>
              <w:rPr>
                <w:b w:val="0"/>
                <w:sz w:val="20"/>
              </w:rPr>
              <w:t>70 000</w:t>
            </w:r>
          </w:p>
        </w:tc>
      </w:tr>
    </w:tbl>
    <w:p/>
    <w:p>
      <w:pPr>
        <w:pStyle w:val="Heading2"/>
      </w:pPr>
      <w:r>
        <w:t>Zones EXT_ZONE_II et EXT_ZONE_III (taux identiques)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871"/>
            <w:shd w:val="clear" w:fill="1D9E4F"/>
          </w:tcPr>
          <w:p>
            <w:r/>
            <w:r>
              <w:rPr>
                <w:b/>
                <w:color w:val="FFFFFF"/>
                <w:sz w:val="20"/>
              </w:rPr>
              <w:t>Catégorie</w:t>
            </w:r>
          </w:p>
        </w:tc>
        <w:tc>
          <w:tcPr>
            <w:tcW w:type="dxa" w:w="1984"/>
            <w:shd w:val="clear" w:fill="1D9E4F"/>
          </w:tcPr>
          <w:p>
            <w:r/>
            <w:r>
              <w:rPr>
                <w:b/>
                <w:color w:val="FFFFFF"/>
                <w:sz w:val="20"/>
              </w:rPr>
              <w:t>Journée complète</w:t>
            </w:r>
          </w:p>
        </w:tc>
        <w:tc>
          <w:tcPr>
            <w:tcW w:type="dxa" w:w="1871"/>
            <w:shd w:val="clear" w:fill="1D9E4F"/>
          </w:tcPr>
          <w:p>
            <w:r/>
            <w:r>
              <w:rPr>
                <w:b/>
                <w:color w:val="FFFFFF"/>
                <w:sz w:val="20"/>
              </w:rPr>
              <w:t>Logé+nourri</w:t>
            </w:r>
          </w:p>
        </w:tc>
        <w:tc>
          <w:tcPr>
            <w:tcW w:type="dxa" w:w="1871"/>
            <w:shd w:val="clear" w:fill="1D9E4F"/>
          </w:tcPr>
          <w:p>
            <w:r/>
            <w:r>
              <w:rPr>
                <w:b/>
                <w:color w:val="FFFFFF"/>
                <w:sz w:val="20"/>
              </w:rPr>
              <w:t>Logé seul</w:t>
            </w:r>
          </w:p>
        </w:tc>
        <w:tc>
          <w:tcPr>
            <w:tcW w:type="dxa" w:w="1871"/>
            <w:shd w:val="clear" w:fill="1D9E4F"/>
          </w:tcPr>
          <w:p>
            <w:r/>
            <w:r>
              <w:rPr>
                <w:b/>
                <w:color w:val="FFFFFF"/>
                <w:sz w:val="20"/>
              </w:rPr>
              <w:t>Nourri seul</w:t>
            </w:r>
          </w:p>
        </w:tc>
      </w:tr>
      <w:tr>
        <w:tc>
          <w:tcPr>
            <w:tcW w:type="dxa" w:w="1871"/>
          </w:tcPr>
          <w:p>
            <w:r/>
            <w:r>
              <w:rPr>
                <w:b w:val="0"/>
                <w:sz w:val="20"/>
              </w:rPr>
              <w:t>ORDRE_1</w:t>
            </w:r>
          </w:p>
        </w:tc>
        <w:tc>
          <w:tcPr>
            <w:tcW w:type="dxa" w:w="1984"/>
          </w:tcPr>
          <w:p>
            <w:r/>
            <w:r>
              <w:rPr>
                <w:b w:val="0"/>
                <w:sz w:val="20"/>
              </w:rPr>
              <w:t>105 000</w:t>
            </w:r>
          </w:p>
        </w:tc>
        <w:tc>
          <w:tcPr>
            <w:tcW w:type="dxa" w:w="1871"/>
          </w:tcPr>
          <w:p>
            <w:r/>
            <w:r>
              <w:rPr>
                <w:b w:val="0"/>
                <w:sz w:val="20"/>
              </w:rPr>
              <w:t>35 000</w:t>
            </w:r>
          </w:p>
        </w:tc>
        <w:tc>
          <w:tcPr>
            <w:tcW w:type="dxa" w:w="1871"/>
          </w:tcPr>
          <w:p>
            <w:r/>
            <w:r>
              <w:rPr>
                <w:b w:val="0"/>
                <w:sz w:val="20"/>
              </w:rPr>
              <w:t>55 000</w:t>
            </w:r>
          </w:p>
        </w:tc>
        <w:tc>
          <w:tcPr>
            <w:tcW w:type="dxa" w:w="1871"/>
          </w:tcPr>
          <w:p>
            <w:r/>
            <w:r>
              <w:rPr>
                <w:b w:val="0"/>
                <w:sz w:val="20"/>
              </w:rPr>
              <w:t>70 000</w:t>
            </w:r>
          </w:p>
        </w:tc>
      </w:tr>
      <w:tr>
        <w:tc>
          <w:tcPr>
            <w:tcW w:type="dxa" w:w="1871"/>
          </w:tcPr>
          <w:p>
            <w:r/>
            <w:r>
              <w:rPr>
                <w:b w:val="0"/>
                <w:sz w:val="20"/>
              </w:rPr>
              <w:t>ORDRE_2</w:t>
            </w:r>
          </w:p>
        </w:tc>
        <w:tc>
          <w:tcPr>
            <w:tcW w:type="dxa" w:w="1984"/>
          </w:tcPr>
          <w:p>
            <w:r/>
            <w:r>
              <w:rPr>
                <w:b w:val="0"/>
                <w:sz w:val="20"/>
              </w:rPr>
              <w:t>85 000</w:t>
            </w:r>
          </w:p>
        </w:tc>
        <w:tc>
          <w:tcPr>
            <w:tcW w:type="dxa" w:w="1871"/>
          </w:tcPr>
          <w:p>
            <w:r/>
            <w:r>
              <w:rPr>
                <w:b w:val="0"/>
                <w:sz w:val="20"/>
              </w:rPr>
              <w:t>30 000</w:t>
            </w:r>
          </w:p>
        </w:tc>
        <w:tc>
          <w:tcPr>
            <w:tcW w:type="dxa" w:w="1871"/>
          </w:tcPr>
          <w:p>
            <w:r/>
            <w:r>
              <w:rPr>
                <w:b w:val="0"/>
                <w:sz w:val="20"/>
              </w:rPr>
              <w:t>45 000</w:t>
            </w:r>
          </w:p>
        </w:tc>
        <w:tc>
          <w:tcPr>
            <w:tcW w:type="dxa" w:w="1871"/>
          </w:tcPr>
          <w:p>
            <w:r/>
            <w:r>
              <w:rPr>
                <w:b w:val="0"/>
                <w:sz w:val="20"/>
              </w:rPr>
              <w:t>60 000</w:t>
            </w:r>
          </w:p>
        </w:tc>
      </w:tr>
      <w:tr>
        <w:tc>
          <w:tcPr>
            <w:tcW w:type="dxa" w:w="1871"/>
          </w:tcPr>
          <w:p>
            <w:r/>
            <w:r>
              <w:rPr>
                <w:b w:val="0"/>
                <w:sz w:val="20"/>
              </w:rPr>
              <w:t>ORDRE_3</w:t>
            </w:r>
          </w:p>
        </w:tc>
        <w:tc>
          <w:tcPr>
            <w:tcW w:type="dxa" w:w="1984"/>
          </w:tcPr>
          <w:p>
            <w:r/>
            <w:r>
              <w:rPr>
                <w:b w:val="0"/>
                <w:sz w:val="20"/>
              </w:rPr>
              <w:t>65 000</w:t>
            </w:r>
          </w:p>
        </w:tc>
        <w:tc>
          <w:tcPr>
            <w:tcW w:type="dxa" w:w="1871"/>
          </w:tcPr>
          <w:p>
            <w:r/>
            <w:r>
              <w:rPr>
                <w:b w:val="0"/>
                <w:sz w:val="20"/>
              </w:rPr>
              <w:t>25 000</w:t>
            </w:r>
          </w:p>
        </w:tc>
        <w:tc>
          <w:tcPr>
            <w:tcW w:type="dxa" w:w="1871"/>
          </w:tcPr>
          <w:p>
            <w:r/>
            <w:r>
              <w:rPr>
                <w:b w:val="0"/>
                <w:sz w:val="20"/>
              </w:rPr>
              <w:t>35 000</w:t>
            </w:r>
          </w:p>
        </w:tc>
        <w:tc>
          <w:tcPr>
            <w:tcW w:type="dxa" w:w="1871"/>
          </w:tcPr>
          <w:p>
            <w:r/>
            <w:r>
              <w:rPr>
                <w:b w:val="0"/>
                <w:sz w:val="20"/>
              </w:rPr>
              <w:t>45 000</w:t>
            </w:r>
          </w:p>
        </w:tc>
      </w:tr>
    </w:tbl>
    <w:p/>
    <w:p>
      <w:r>
        <w:rPr>
          <w:b w:val="0"/>
          <w:i/>
          <w:color w:val="4B5563"/>
        </w:rPr>
        <w:t>Note : ces montants sont ceux du barème par défaut et peuvent être ajustés par l'ADMIN dans le module Barème. Référez-vous à l'écran Barème pour les valeurs en vigueur.</w:t>
      </w:r>
    </w:p>
    <w:p>
      <w:r>
        <w:br w:type="page"/>
      </w:r>
    </w:p>
    <w:p>
      <w:pPr>
        <w:pStyle w:val="Heading1"/>
      </w:pPr>
      <w:r>
        <w:t>Annexe C — Glossaire</w:t>
      </w:r>
    </w:p>
    <w:tbl>
      <w:tblPr>
        <w:tblStyle w:val="TableGrid"/>
        <w:tblW w:type="auto" w:w="0"/>
        <w:jc w:val="center"/>
        <w:tblLook w:firstColumn="1" w:firstRow="1" w:lastColumn="0" w:lastRow="0" w:noHBand="0" w:noVBand="1" w:val="04A0"/>
      </w:tblPr>
      <w:tblGrid>
        <w:gridCol w:w="4320"/>
        <w:gridCol w:w="4320"/>
      </w:tblGrid>
      <w:tr>
        <w:tc>
          <w:tcPr>
            <w:tcW w:type="dxa" w:w="2381"/>
            <w:shd w:val="clear" w:fill="1D9E4F"/>
          </w:tcPr>
          <w:p>
            <w:r/>
            <w:r>
              <w:rPr>
                <w:b/>
                <w:color w:val="FFFFFF"/>
                <w:sz w:val="20"/>
              </w:rPr>
              <w:t>Terme</w:t>
            </w:r>
          </w:p>
        </w:tc>
        <w:tc>
          <w:tcPr>
            <w:tcW w:type="dxa" w:w="7143"/>
            <w:shd w:val="clear" w:fill="1D9E4F"/>
          </w:tcPr>
          <w:p>
            <w:r/>
            <w:r>
              <w:rPr>
                <w:b/>
                <w:color w:val="FFFFFF"/>
                <w:sz w:val="20"/>
              </w:rPr>
              <w:t>Définition</w:t>
            </w:r>
          </w:p>
        </w:tc>
      </w:tr>
      <w:tr>
        <w:tc>
          <w:tcPr>
            <w:tcW w:type="dxa" w:w="2381"/>
          </w:tcPr>
          <w:p>
            <w:r/>
            <w:r>
              <w:rPr>
                <w:b w:val="0"/>
                <w:sz w:val="20"/>
              </w:rPr>
              <w:t>SEMO</w:t>
            </w:r>
          </w:p>
        </w:tc>
        <w:tc>
          <w:tcPr>
            <w:tcW w:type="dxa" w:w="7143"/>
          </w:tcPr>
          <w:p>
            <w:r/>
            <w:r>
              <w:rPr>
                <w:b w:val="0"/>
                <w:sz w:val="20"/>
              </w:rPr>
              <w:t>Service émetteur des ordres de mission (hors application).</w:t>
            </w:r>
          </w:p>
        </w:tc>
      </w:tr>
      <w:tr>
        <w:tc>
          <w:tcPr>
            <w:tcW w:type="dxa" w:w="2381"/>
          </w:tcPr>
          <w:p>
            <w:r/>
            <w:r>
              <w:rPr>
                <w:b w:val="0"/>
                <w:sz w:val="20"/>
              </w:rPr>
              <w:t>OM</w:t>
            </w:r>
          </w:p>
        </w:tc>
        <w:tc>
          <w:tcPr>
            <w:tcW w:type="dxa" w:w="7143"/>
          </w:tcPr>
          <w:p>
            <w:r/>
            <w:r>
              <w:rPr>
                <w:b w:val="0"/>
                <w:sz w:val="20"/>
              </w:rPr>
              <w:t>Ordre de mission : 1 enregistrement = 1 bénéficiaire.</w:t>
            </w:r>
          </w:p>
        </w:tc>
      </w:tr>
      <w:tr>
        <w:tc>
          <w:tcPr>
            <w:tcW w:type="dxa" w:w="2381"/>
          </w:tcPr>
          <w:p>
            <w:r/>
            <w:r>
              <w:rPr>
                <w:b w:val="0"/>
                <w:sz w:val="20"/>
              </w:rPr>
              <w:t>CAV</w:t>
            </w:r>
          </w:p>
        </w:tc>
        <w:tc>
          <w:tcPr>
            <w:tcW w:type="dxa" w:w="7143"/>
          </w:tcPr>
          <w:p>
            <w:r/>
            <w:r>
              <w:rPr>
                <w:b w:val="0"/>
                <w:sz w:val="20"/>
              </w:rPr>
              <w:t>Conducteur de véhicule administratif, payé selon sa propre catégorie.</w:t>
            </w:r>
          </w:p>
        </w:tc>
      </w:tr>
      <w:tr>
        <w:tc>
          <w:tcPr>
            <w:tcW w:type="dxa" w:w="2381"/>
          </w:tcPr>
          <w:p>
            <w:r/>
            <w:r>
              <w:rPr>
                <w:b w:val="0"/>
                <w:sz w:val="20"/>
              </w:rPr>
              <w:t>Per diem</w:t>
            </w:r>
          </w:p>
        </w:tc>
        <w:tc>
          <w:tcPr>
            <w:tcW w:type="dxa" w:w="7143"/>
          </w:tcPr>
          <w:p>
            <w:r/>
            <w:r>
              <w:rPr>
                <w:b w:val="0"/>
                <w:sz w:val="20"/>
              </w:rPr>
              <w:t>Indemnité journalière de mission.</w:t>
            </w:r>
          </w:p>
        </w:tc>
      </w:tr>
      <w:tr>
        <w:tc>
          <w:tcPr>
            <w:tcW w:type="dxa" w:w="2381"/>
          </w:tcPr>
          <w:p>
            <w:r/>
            <w:r>
              <w:rPr>
                <w:b w:val="0"/>
                <w:sz w:val="20"/>
              </w:rPr>
              <w:t>Avance / Reliquat</w:t>
            </w:r>
          </w:p>
        </w:tc>
        <w:tc>
          <w:tcPr>
            <w:tcW w:type="dxa" w:w="7143"/>
          </w:tcPr>
          <w:p>
            <w:r/>
            <w:r>
              <w:rPr>
                <w:b w:val="0"/>
                <w:sz w:val="20"/>
              </w:rPr>
              <w:t>Tranches du per diem : 33,33 % puis 66,67 %.</w:t>
            </w:r>
          </w:p>
        </w:tc>
      </w:tr>
      <w:tr>
        <w:tc>
          <w:tcPr>
            <w:tcW w:type="dxa" w:w="2381"/>
          </w:tcPr>
          <w:p>
            <w:r/>
            <w:r>
              <w:rPr>
                <w:b w:val="0"/>
                <w:sz w:val="20"/>
              </w:rPr>
              <w:t>Lot</w:t>
            </w:r>
          </w:p>
        </w:tc>
        <w:tc>
          <w:tcPr>
            <w:tcW w:type="dxa" w:w="7143"/>
          </w:tcPr>
          <w:p>
            <w:r/>
            <w:r>
              <w:rPr>
                <w:b w:val="0"/>
                <w:sz w:val="20"/>
              </w:rPr>
              <w:t>1 mission × 1 tranche × 1 opérateur = 1 fichier de paiement.</w:t>
            </w:r>
          </w:p>
        </w:tc>
      </w:tr>
      <w:tr>
        <w:tc>
          <w:tcPr>
            <w:tcW w:type="dxa" w:w="2381"/>
          </w:tcPr>
          <w:p>
            <w:r/>
            <w:r>
              <w:rPr>
                <w:b w:val="0"/>
                <w:sz w:val="20"/>
              </w:rPr>
              <w:t>MSISDN</w:t>
            </w:r>
          </w:p>
        </w:tc>
        <w:tc>
          <w:tcPr>
            <w:tcW w:type="dxa" w:w="7143"/>
          </w:tcPr>
          <w:p>
            <w:r/>
            <w:r>
              <w:rPr>
                <w:b w:val="0"/>
                <w:sz w:val="20"/>
              </w:rPr>
              <w:t>Numéro de téléphone au format international (229 + numéro).</w:t>
            </w:r>
          </w:p>
        </w:tc>
      </w:tr>
      <w:tr>
        <w:tc>
          <w:tcPr>
            <w:tcW w:type="dxa" w:w="2381"/>
          </w:tcPr>
          <w:p>
            <w:r/>
            <w:r>
              <w:rPr>
                <w:b w:val="0"/>
                <w:sz w:val="20"/>
              </w:rPr>
              <w:t>Exonération</w:t>
            </w:r>
          </w:p>
        </w:tc>
        <w:tc>
          <w:tcPr>
            <w:tcW w:type="dxa" w:w="7143"/>
          </w:tcPr>
          <w:p>
            <w:r/>
            <w:r>
              <w:rPr>
                <w:b w:val="0"/>
                <w:sz w:val="20"/>
              </w:rPr>
              <w:t>Prise en charge par un tiers : aucun frais alloué.</w:t>
            </w:r>
          </w:p>
        </w:tc>
      </w:tr>
    </w:tbl>
    <w:p/>
    <w:p/>
    <w:tbl>
      <w:tblPr>
        <w:tblW w:type="auto" w:w="0"/>
        <w:jc w:val="center"/>
        <w:tblLook w:firstColumn="1" w:firstRow="1" w:lastColumn="0" w:lastRow="0" w:noHBand="0" w:noVBand="1" w:val="04A0"/>
      </w:tblPr>
      <w:tblGrid>
        <w:gridCol w:w="2880"/>
        <w:gridCol w:w="2880"/>
        <w:gridCol w:w="2880"/>
      </w:tblGrid>
      <w:tr>
        <w:tc>
          <w:tcPr>
            <w:tcW w:type="dxa" w:w="3175"/>
            <w:shd w:val="clear" w:fill="1D9E4F"/>
          </w:tcPr>
          <w:p>
            <w:r>
              <w:rPr>
                <w:sz w:val="4"/>
              </w:rPr>
              <w:t xml:space="preserve"> </w:t>
            </w:r>
          </w:p>
        </w:tc>
        <w:tc>
          <w:tcPr>
            <w:tcW w:type="dxa" w:w="3175"/>
            <w:shd w:val="clear" w:fill="D4A843"/>
          </w:tcPr>
          <w:p>
            <w:r>
              <w:rPr>
                <w:sz w:val="4"/>
              </w:rPr>
              <w:t xml:space="preserve"> </w:t>
            </w:r>
          </w:p>
        </w:tc>
        <w:tc>
          <w:tcPr>
            <w:tcW w:type="dxa" w:w="3175"/>
            <w:shd w:val="clear" w:fill="CE1126"/>
          </w:tcPr>
          <w:p>
            <w:r>
              <w:rPr>
                <w:sz w:val="4"/>
              </w:rPr>
              <w:t xml:space="preserve"> </w:t>
            </w:r>
          </w:p>
        </w:tc>
      </w:tr>
    </w:tbl>
    <w:p>
      <w:pPr>
        <w:jc w:val="center"/>
      </w:pPr>
      <w:r>
        <w:rPr>
          <w:color w:val="4B5563"/>
          <w:sz w:val="18"/>
        </w:rPr>
        <w:t>© 2026 ANaTT — Agence Nationale des Transports Terrestres — Bénin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D9E4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A3D1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B8891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